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A6FFB" w14:textId="75077968" w:rsidR="000F36A3" w:rsidRPr="000F36A3" w:rsidRDefault="00106BBA" w:rsidP="00571E61">
      <w:pPr>
        <w:ind w:left="1701" w:right="1655"/>
        <w:jc w:val="center"/>
        <w:rPr>
          <w:b/>
          <w:sz w:val="32"/>
          <w:szCs w:val="32"/>
        </w:rPr>
      </w:pPr>
      <w:r w:rsidRPr="00531EB9">
        <w:rPr>
          <w:noProof/>
          <w:lang w:eastAsia="en-GB"/>
        </w:rPr>
        <w:drawing>
          <wp:anchor distT="0" distB="0" distL="114300" distR="114300" simplePos="0" relativeHeight="251659264" behindDoc="0" locked="0" layoutInCell="1" allowOverlap="1" wp14:anchorId="5AA78537" wp14:editId="51F90DC9">
            <wp:simplePos x="0" y="0"/>
            <wp:positionH relativeFrom="margin">
              <wp:posOffset>-448310</wp:posOffset>
            </wp:positionH>
            <wp:positionV relativeFrom="margin">
              <wp:posOffset>-705485</wp:posOffset>
            </wp:positionV>
            <wp:extent cx="1190625" cy="1246505"/>
            <wp:effectExtent l="0" t="0" r="0" b="0"/>
            <wp:wrapSquare wrapText="bothSides"/>
            <wp:docPr id="1" name="Picture 1" descr="C:\Users\sbbj976\Desktop\City UoL logo CMYK DK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bj976\Desktop\City UoL logo CMYK DK1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246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36A3" w:rsidRPr="000F36A3">
        <w:rPr>
          <w:b/>
          <w:sz w:val="32"/>
          <w:szCs w:val="32"/>
        </w:rPr>
        <w:t xml:space="preserve">City, University of London </w:t>
      </w:r>
      <w:r>
        <w:rPr>
          <w:b/>
          <w:sz w:val="32"/>
          <w:szCs w:val="32"/>
        </w:rPr>
        <w:t xml:space="preserve">                                                   </w:t>
      </w:r>
      <w:r w:rsidR="000F36A3" w:rsidRPr="000F36A3">
        <w:rPr>
          <w:b/>
          <w:sz w:val="32"/>
          <w:szCs w:val="32"/>
        </w:rPr>
        <w:t>Assessment Regulations</w:t>
      </w:r>
      <w:bookmarkStart w:id="0" w:name="_GoBack"/>
      <w:bookmarkEnd w:id="0"/>
    </w:p>
    <w:p w14:paraId="523CD1FB" w14:textId="5B602FB8" w:rsidR="000F36A3" w:rsidRPr="000F36A3" w:rsidRDefault="000F36A3" w:rsidP="00571E61">
      <w:pPr>
        <w:ind w:left="1701" w:right="1655"/>
        <w:jc w:val="center"/>
        <w:rPr>
          <w:b/>
          <w:sz w:val="32"/>
          <w:szCs w:val="32"/>
        </w:rPr>
      </w:pPr>
      <w:r w:rsidRPr="000F36A3">
        <w:rPr>
          <w:b/>
          <w:sz w:val="32"/>
          <w:szCs w:val="32"/>
        </w:rPr>
        <w:t>Summary of updates for 2016/17</w:t>
      </w:r>
    </w:p>
    <w:p w14:paraId="33A497D3" w14:textId="77777777" w:rsidR="00DF02D4" w:rsidRDefault="00DF02D4" w:rsidP="00326D4C">
      <w:pPr>
        <w:rPr>
          <w:szCs w:val="20"/>
        </w:rPr>
      </w:pPr>
    </w:p>
    <w:p w14:paraId="021042CC" w14:textId="77777777" w:rsidR="00326D4C" w:rsidRDefault="00326D4C" w:rsidP="00326D4C">
      <w:pPr>
        <w:rPr>
          <w:szCs w:val="20"/>
        </w:rPr>
      </w:pPr>
      <w:r>
        <w:rPr>
          <w:szCs w:val="20"/>
        </w:rPr>
        <w:t>The Assessment Reg</w:t>
      </w:r>
      <w:r w:rsidRPr="00264E5B">
        <w:rPr>
          <w:szCs w:val="20"/>
        </w:rPr>
        <w:t>ulations were approved by Senate in July 2016 and come into effect for all new and continuing students from the 2016/17 academic year.</w:t>
      </w:r>
      <w:r>
        <w:rPr>
          <w:szCs w:val="20"/>
        </w:rPr>
        <w:t xml:space="preserve">  </w:t>
      </w:r>
    </w:p>
    <w:p w14:paraId="7677F2AF" w14:textId="40EB0DF2" w:rsidR="00326D4C" w:rsidRDefault="00326D4C" w:rsidP="00326D4C">
      <w:pPr>
        <w:rPr>
          <w:szCs w:val="20"/>
        </w:rPr>
      </w:pPr>
      <w:r w:rsidRPr="00264E5B">
        <w:rPr>
          <w:szCs w:val="20"/>
        </w:rPr>
        <w:t xml:space="preserve">The revised Regulations were developed following a period of consultation with academic and professional services staff and the Students’ Union. The </w:t>
      </w:r>
      <w:r>
        <w:rPr>
          <w:szCs w:val="20"/>
        </w:rPr>
        <w:t xml:space="preserve">2016/17 version </w:t>
      </w:r>
      <w:r w:rsidRPr="00264E5B">
        <w:rPr>
          <w:szCs w:val="20"/>
        </w:rPr>
        <w:t xml:space="preserve">re-organised </w:t>
      </w:r>
      <w:r>
        <w:rPr>
          <w:szCs w:val="20"/>
        </w:rPr>
        <w:t xml:space="preserve">the content </w:t>
      </w:r>
      <w:r w:rsidRPr="00264E5B">
        <w:rPr>
          <w:szCs w:val="20"/>
        </w:rPr>
        <w:t xml:space="preserve">and updated </w:t>
      </w:r>
      <w:r>
        <w:rPr>
          <w:szCs w:val="20"/>
        </w:rPr>
        <w:t>terminology from the previous Regulations to make them easier to understand for students and staff.  Some new sections were added to clarify how assessment at City is managed and the duties of Assessment Boards and their advisory panels.  This summary sheet outlines the key changes.</w:t>
      </w:r>
    </w:p>
    <w:p w14:paraId="07C07A86" w14:textId="77777777" w:rsidR="00BB5C8B" w:rsidRPr="00326D4C" w:rsidRDefault="00BB5C8B" w:rsidP="00326D4C">
      <w:pPr>
        <w:rPr>
          <w:szCs w:val="20"/>
        </w:rPr>
      </w:pPr>
    </w:p>
    <w:p w14:paraId="267A53CC" w14:textId="77777777" w:rsidR="00275978" w:rsidRDefault="00275978">
      <w:pPr>
        <w:rPr>
          <w:b/>
          <w:szCs w:val="20"/>
        </w:rPr>
      </w:pPr>
      <w:r w:rsidRPr="00264E5B">
        <w:rPr>
          <w:b/>
          <w:szCs w:val="20"/>
        </w:rPr>
        <w:t>Key updates to the Regulations for 2016/17</w:t>
      </w:r>
    </w:p>
    <w:p w14:paraId="4C6760C9" w14:textId="77777777" w:rsidR="004177F3" w:rsidRDefault="004177F3">
      <w:pPr>
        <w:rPr>
          <w:b/>
          <w:szCs w:val="20"/>
        </w:rPr>
      </w:pPr>
    </w:p>
    <w:p w14:paraId="5A7C705E" w14:textId="77777777" w:rsidR="00A976CA" w:rsidRPr="00A976CA" w:rsidRDefault="00A976CA" w:rsidP="00862287">
      <w:pPr>
        <w:pStyle w:val="ListParagraph"/>
        <w:numPr>
          <w:ilvl w:val="0"/>
          <w:numId w:val="2"/>
        </w:numPr>
        <w:spacing w:before="60" w:after="120"/>
        <w:ind w:left="360" w:right="-2"/>
        <w:contextualSpacing w:val="0"/>
        <w:rPr>
          <w:rFonts w:cs="Arial"/>
          <w:b/>
          <w:szCs w:val="20"/>
        </w:rPr>
      </w:pPr>
      <w:r>
        <w:rPr>
          <w:b/>
        </w:rPr>
        <w:t>Terminology</w:t>
      </w:r>
    </w:p>
    <w:p w14:paraId="72EFA887" w14:textId="77777777" w:rsidR="00A976CA" w:rsidRPr="00250152" w:rsidRDefault="00A976CA" w:rsidP="00862287">
      <w:pPr>
        <w:pStyle w:val="ListParagraph"/>
        <w:numPr>
          <w:ilvl w:val="0"/>
          <w:numId w:val="1"/>
        </w:numPr>
        <w:spacing w:before="60"/>
        <w:ind w:left="720"/>
        <w:contextualSpacing w:val="0"/>
        <w:rPr>
          <w:b/>
        </w:rPr>
      </w:pPr>
      <w:r>
        <w:t xml:space="preserve">References to </w:t>
      </w:r>
      <w:r w:rsidRPr="00A976CA">
        <w:t xml:space="preserve">‘Parts’ </w:t>
      </w:r>
      <w:r>
        <w:t xml:space="preserve">of Programmes are </w:t>
      </w:r>
      <w:r w:rsidRPr="00A976CA">
        <w:t xml:space="preserve">replaced by </w:t>
      </w:r>
      <w:r w:rsidRPr="00250152">
        <w:rPr>
          <w:b/>
        </w:rPr>
        <w:t xml:space="preserve">‘Programme Stages’ </w:t>
      </w:r>
    </w:p>
    <w:p w14:paraId="6F212FD6" w14:textId="77777777" w:rsidR="00A976CA" w:rsidRPr="00250152" w:rsidRDefault="00A976CA" w:rsidP="00862287">
      <w:pPr>
        <w:pStyle w:val="ListParagraph"/>
        <w:numPr>
          <w:ilvl w:val="0"/>
          <w:numId w:val="1"/>
        </w:numPr>
        <w:spacing w:before="60"/>
        <w:ind w:left="720"/>
        <w:contextualSpacing w:val="0"/>
        <w:rPr>
          <w:b/>
        </w:rPr>
      </w:pPr>
      <w:r>
        <w:t xml:space="preserve">References to </w:t>
      </w:r>
      <w:r w:rsidRPr="00A976CA">
        <w:t xml:space="preserve">‘Exceptions to Regulations’ </w:t>
      </w:r>
      <w:r>
        <w:t>are</w:t>
      </w:r>
      <w:r w:rsidRPr="00A976CA">
        <w:t xml:space="preserve"> replaced with ‘</w:t>
      </w:r>
      <w:r w:rsidRPr="00250152">
        <w:rPr>
          <w:b/>
        </w:rPr>
        <w:t>Programme Regulations’</w:t>
      </w:r>
      <w:r w:rsidR="00651C80">
        <w:t xml:space="preserve">. </w:t>
      </w:r>
      <w:r w:rsidR="00676AE2">
        <w:t xml:space="preserve">All approved </w:t>
      </w:r>
      <w:r w:rsidR="00651C80">
        <w:t>Programme Regulations are included as Appendix 1 to the Regulations.</w:t>
      </w:r>
    </w:p>
    <w:p w14:paraId="67351B0D" w14:textId="77777777" w:rsidR="00A976CA" w:rsidRDefault="00A976CA" w:rsidP="00862287">
      <w:pPr>
        <w:pStyle w:val="ListParagraph"/>
        <w:numPr>
          <w:ilvl w:val="0"/>
          <w:numId w:val="1"/>
        </w:numPr>
        <w:spacing w:before="60"/>
        <w:ind w:left="720"/>
        <w:contextualSpacing w:val="0"/>
      </w:pPr>
      <w:r w:rsidRPr="00A976CA">
        <w:t>Specific references to MEng/</w:t>
      </w:r>
      <w:proofErr w:type="spellStart"/>
      <w:r w:rsidRPr="00A976CA">
        <w:t>MMath</w:t>
      </w:r>
      <w:proofErr w:type="spellEnd"/>
      <w:r w:rsidRPr="00A976CA">
        <w:t>/MEB/</w:t>
      </w:r>
      <w:proofErr w:type="spellStart"/>
      <w:r w:rsidRPr="00A976CA">
        <w:t>MOptom</w:t>
      </w:r>
      <w:proofErr w:type="spellEnd"/>
      <w:r w:rsidRPr="00A976CA">
        <w:t>/</w:t>
      </w:r>
      <w:proofErr w:type="spellStart"/>
      <w:r w:rsidRPr="00A976CA">
        <w:t>MSci</w:t>
      </w:r>
      <w:proofErr w:type="spellEnd"/>
      <w:r w:rsidRPr="00A976CA">
        <w:t xml:space="preserve"> </w:t>
      </w:r>
      <w:r>
        <w:t xml:space="preserve">are </w:t>
      </w:r>
      <w:r w:rsidRPr="00A976CA">
        <w:t xml:space="preserve">replaced with </w:t>
      </w:r>
      <w:r w:rsidRPr="00250152">
        <w:rPr>
          <w:b/>
        </w:rPr>
        <w:t>Integrated Masters</w:t>
      </w:r>
      <w:r w:rsidRPr="00A976CA">
        <w:t xml:space="preserve"> (and cross referenced to </w:t>
      </w:r>
      <w:r w:rsidR="00A820F3">
        <w:t xml:space="preserve">the </w:t>
      </w:r>
      <w:r w:rsidRPr="00A976CA">
        <w:t>Programme Regulations Appendix for full details)</w:t>
      </w:r>
    </w:p>
    <w:p w14:paraId="7B5BBABB" w14:textId="77777777" w:rsidR="00337050" w:rsidRPr="00676AE2" w:rsidRDefault="00337050" w:rsidP="00862287">
      <w:pPr>
        <w:pStyle w:val="ListParagraph"/>
        <w:numPr>
          <w:ilvl w:val="0"/>
          <w:numId w:val="1"/>
        </w:numPr>
        <w:spacing w:before="60"/>
        <w:ind w:left="720"/>
        <w:contextualSpacing w:val="0"/>
      </w:pPr>
      <w:r>
        <w:t xml:space="preserve">Accreditation of Prior (Experiential) Learning is now </w:t>
      </w:r>
      <w:r>
        <w:rPr>
          <w:b/>
        </w:rPr>
        <w:t>Recognition of Prior (Experiential) Learning</w:t>
      </w:r>
    </w:p>
    <w:p w14:paraId="09177F30" w14:textId="77777777" w:rsidR="00676AE2" w:rsidRPr="00A976CA" w:rsidRDefault="00676AE2" w:rsidP="00862287">
      <w:pPr>
        <w:pStyle w:val="ListParagraph"/>
        <w:numPr>
          <w:ilvl w:val="0"/>
          <w:numId w:val="1"/>
        </w:numPr>
        <w:spacing w:before="60"/>
        <w:ind w:left="720"/>
        <w:contextualSpacing w:val="0"/>
      </w:pPr>
      <w:r>
        <w:t xml:space="preserve">A </w:t>
      </w:r>
      <w:r>
        <w:rPr>
          <w:b/>
        </w:rPr>
        <w:t xml:space="preserve">Glossary of Terms </w:t>
      </w:r>
      <w:r>
        <w:t>is included at Appendix 5.</w:t>
      </w:r>
    </w:p>
    <w:p w14:paraId="6577139A" w14:textId="77777777" w:rsidR="00A976CA" w:rsidRPr="00A976CA" w:rsidRDefault="00A976CA" w:rsidP="00862287">
      <w:pPr>
        <w:pStyle w:val="ListParagraph"/>
        <w:spacing w:before="60"/>
        <w:ind w:left="1800"/>
        <w:contextualSpacing w:val="0"/>
      </w:pPr>
    </w:p>
    <w:p w14:paraId="2437D982" w14:textId="77777777" w:rsidR="00A976CA" w:rsidRPr="00A976CA" w:rsidRDefault="00A976CA" w:rsidP="00862287">
      <w:pPr>
        <w:pStyle w:val="ListParagraph"/>
        <w:numPr>
          <w:ilvl w:val="0"/>
          <w:numId w:val="2"/>
        </w:numPr>
        <w:spacing w:before="60" w:after="120"/>
        <w:ind w:left="360" w:right="-2"/>
        <w:contextualSpacing w:val="0"/>
        <w:rPr>
          <w:rFonts w:cs="Arial"/>
          <w:b/>
          <w:szCs w:val="20"/>
        </w:rPr>
      </w:pPr>
      <w:r>
        <w:rPr>
          <w:b/>
        </w:rPr>
        <w:t>General Principles</w:t>
      </w:r>
    </w:p>
    <w:p w14:paraId="0DA00C8C" w14:textId="77777777" w:rsidR="00A976CA" w:rsidRPr="00A976CA" w:rsidRDefault="00A820F3" w:rsidP="00862287">
      <w:pPr>
        <w:pStyle w:val="ListParagraph"/>
        <w:numPr>
          <w:ilvl w:val="0"/>
          <w:numId w:val="3"/>
        </w:numPr>
        <w:spacing w:before="60" w:after="120"/>
        <w:ind w:right="-2"/>
        <w:contextualSpacing w:val="0"/>
        <w:rPr>
          <w:rFonts w:cs="Arial"/>
          <w:b/>
          <w:szCs w:val="20"/>
        </w:rPr>
      </w:pPr>
      <w:r>
        <w:rPr>
          <w:rFonts w:cs="Arial"/>
          <w:szCs w:val="20"/>
        </w:rPr>
        <w:t xml:space="preserve">The General Principles have been expanded for clarity (see </w:t>
      </w:r>
      <w:r w:rsidRPr="00DD2CD8">
        <w:rPr>
          <w:rFonts w:cs="Arial"/>
          <w:b/>
          <w:szCs w:val="20"/>
        </w:rPr>
        <w:t>2iii, 2iv and 2v</w:t>
      </w:r>
      <w:r>
        <w:rPr>
          <w:rFonts w:cs="Arial"/>
          <w:szCs w:val="20"/>
        </w:rPr>
        <w:t>)</w:t>
      </w:r>
    </w:p>
    <w:p w14:paraId="500E12CD" w14:textId="77777777" w:rsidR="00A976CA" w:rsidRPr="00A976CA" w:rsidRDefault="00A976CA" w:rsidP="00862287">
      <w:pPr>
        <w:pStyle w:val="ListParagraph"/>
        <w:spacing w:before="60" w:after="120"/>
        <w:ind w:left="360" w:right="-2"/>
        <w:contextualSpacing w:val="0"/>
        <w:rPr>
          <w:rFonts w:cs="Arial"/>
          <w:b/>
          <w:szCs w:val="20"/>
        </w:rPr>
      </w:pPr>
    </w:p>
    <w:p w14:paraId="46F4284D" w14:textId="77777777" w:rsidR="0021780C" w:rsidRDefault="0021780C" w:rsidP="00862287">
      <w:pPr>
        <w:pStyle w:val="ListParagraph"/>
        <w:numPr>
          <w:ilvl w:val="0"/>
          <w:numId w:val="2"/>
        </w:numPr>
        <w:spacing w:before="60" w:after="120"/>
        <w:ind w:left="360" w:right="-2"/>
        <w:contextualSpacing w:val="0"/>
        <w:rPr>
          <w:rFonts w:cs="Arial"/>
          <w:b/>
          <w:szCs w:val="20"/>
        </w:rPr>
      </w:pPr>
      <w:r>
        <w:rPr>
          <w:rFonts w:cs="Arial"/>
          <w:b/>
          <w:szCs w:val="20"/>
        </w:rPr>
        <w:t>Principles of the Assessment Framework</w:t>
      </w:r>
    </w:p>
    <w:p w14:paraId="1FBAE60B" w14:textId="77777777" w:rsidR="0021780C" w:rsidRPr="001852AB" w:rsidRDefault="0021780C" w:rsidP="00862287">
      <w:pPr>
        <w:pStyle w:val="ListParagraph"/>
        <w:numPr>
          <w:ilvl w:val="0"/>
          <w:numId w:val="3"/>
        </w:numPr>
        <w:spacing w:before="60" w:after="120"/>
        <w:ind w:right="-2"/>
        <w:contextualSpacing w:val="0"/>
        <w:rPr>
          <w:rFonts w:cs="Arial"/>
          <w:b/>
          <w:szCs w:val="20"/>
        </w:rPr>
      </w:pPr>
      <w:r>
        <w:rPr>
          <w:rFonts w:cs="Arial"/>
          <w:szCs w:val="20"/>
        </w:rPr>
        <w:t xml:space="preserve">This section expands on the previous </w:t>
      </w:r>
      <w:r>
        <w:rPr>
          <w:rFonts w:cs="Arial"/>
          <w:i/>
          <w:szCs w:val="20"/>
        </w:rPr>
        <w:t xml:space="preserve">Pattern and Structure of Assessment </w:t>
      </w:r>
      <w:r>
        <w:rPr>
          <w:rFonts w:cs="Arial"/>
          <w:szCs w:val="20"/>
        </w:rPr>
        <w:t xml:space="preserve">section to provide </w:t>
      </w:r>
      <w:proofErr w:type="gramStart"/>
      <w:r>
        <w:rPr>
          <w:rFonts w:cs="Arial"/>
          <w:szCs w:val="20"/>
        </w:rPr>
        <w:t>further</w:t>
      </w:r>
      <w:proofErr w:type="gramEnd"/>
      <w:r>
        <w:rPr>
          <w:rFonts w:cs="Arial"/>
          <w:szCs w:val="20"/>
        </w:rPr>
        <w:t xml:space="preserve"> details on programme and module structures and notes that </w:t>
      </w:r>
      <w:r w:rsidRPr="00DD2CD8">
        <w:rPr>
          <w:rFonts w:cs="Arial"/>
          <w:b/>
          <w:szCs w:val="20"/>
        </w:rPr>
        <w:t>assessment schemes</w:t>
      </w:r>
      <w:r>
        <w:rPr>
          <w:rFonts w:cs="Arial"/>
          <w:szCs w:val="20"/>
        </w:rPr>
        <w:t xml:space="preserve"> will be reviewed periodically</w:t>
      </w:r>
      <w:r w:rsidR="001852AB">
        <w:rPr>
          <w:rFonts w:cs="Arial"/>
          <w:szCs w:val="20"/>
        </w:rPr>
        <w:t>.</w:t>
      </w:r>
    </w:p>
    <w:p w14:paraId="60180631" w14:textId="4EA231A4" w:rsidR="001852AB" w:rsidRDefault="001852AB" w:rsidP="00862287">
      <w:pPr>
        <w:pStyle w:val="ListParagraph"/>
        <w:numPr>
          <w:ilvl w:val="0"/>
          <w:numId w:val="3"/>
        </w:numPr>
        <w:spacing w:before="60" w:after="120"/>
        <w:ind w:right="-2"/>
        <w:contextualSpacing w:val="0"/>
        <w:rPr>
          <w:rFonts w:cs="Arial"/>
          <w:b/>
          <w:szCs w:val="20"/>
        </w:rPr>
      </w:pPr>
      <w:r>
        <w:rPr>
          <w:rFonts w:cs="Arial"/>
          <w:szCs w:val="20"/>
        </w:rPr>
        <w:t xml:space="preserve">New sections detail the University requirements for the </w:t>
      </w:r>
      <w:r w:rsidRPr="00DD2CD8">
        <w:rPr>
          <w:rFonts w:cs="Arial"/>
          <w:b/>
          <w:szCs w:val="20"/>
        </w:rPr>
        <w:t>language of assessment</w:t>
      </w:r>
      <w:r>
        <w:rPr>
          <w:rFonts w:cs="Arial"/>
          <w:szCs w:val="20"/>
        </w:rPr>
        <w:t xml:space="preserve"> (</w:t>
      </w:r>
      <w:r w:rsidR="002627E2">
        <w:rPr>
          <w:rFonts w:cs="Arial"/>
          <w:szCs w:val="20"/>
        </w:rPr>
        <w:t xml:space="preserve">see </w:t>
      </w:r>
      <w:r>
        <w:rPr>
          <w:rFonts w:cs="Arial"/>
          <w:szCs w:val="20"/>
        </w:rPr>
        <w:t>3.4).</w:t>
      </w:r>
    </w:p>
    <w:p w14:paraId="14B2699C" w14:textId="77777777" w:rsidR="0021780C" w:rsidRPr="0021780C" w:rsidRDefault="0021780C" w:rsidP="00862287">
      <w:pPr>
        <w:pStyle w:val="ListParagraph"/>
        <w:spacing w:before="60" w:after="120"/>
        <w:ind w:left="360" w:right="-2"/>
        <w:contextualSpacing w:val="0"/>
        <w:rPr>
          <w:rFonts w:cs="Arial"/>
          <w:b/>
          <w:szCs w:val="20"/>
        </w:rPr>
      </w:pPr>
    </w:p>
    <w:p w14:paraId="1B8A370D" w14:textId="77777777" w:rsidR="007E4E60" w:rsidRPr="007E4E60" w:rsidRDefault="007E4E60" w:rsidP="00862287">
      <w:pPr>
        <w:pStyle w:val="ListParagraph"/>
        <w:numPr>
          <w:ilvl w:val="0"/>
          <w:numId w:val="2"/>
        </w:numPr>
        <w:spacing w:before="60" w:after="120"/>
        <w:ind w:left="360" w:right="-2"/>
        <w:contextualSpacing w:val="0"/>
        <w:rPr>
          <w:rFonts w:cs="Arial"/>
          <w:b/>
          <w:szCs w:val="20"/>
        </w:rPr>
      </w:pPr>
      <w:r>
        <w:rPr>
          <w:b/>
        </w:rPr>
        <w:t>Progression and Award</w:t>
      </w:r>
    </w:p>
    <w:p w14:paraId="206EBC1A" w14:textId="77777777" w:rsidR="007E4E60" w:rsidRPr="002627E2" w:rsidRDefault="007E4E60" w:rsidP="00862287">
      <w:pPr>
        <w:pStyle w:val="ListParagraph"/>
        <w:numPr>
          <w:ilvl w:val="0"/>
          <w:numId w:val="4"/>
        </w:numPr>
        <w:spacing w:before="60" w:after="120"/>
        <w:ind w:right="-2"/>
        <w:contextualSpacing w:val="0"/>
        <w:rPr>
          <w:rFonts w:cs="Arial"/>
          <w:b/>
          <w:szCs w:val="20"/>
        </w:rPr>
      </w:pPr>
      <w:r>
        <w:rPr>
          <w:rFonts w:cs="Arial"/>
          <w:szCs w:val="20"/>
        </w:rPr>
        <w:t>Text from the previous Re</w:t>
      </w:r>
      <w:r w:rsidR="001531CB">
        <w:rPr>
          <w:rFonts w:cs="Arial"/>
          <w:szCs w:val="20"/>
        </w:rPr>
        <w:t xml:space="preserve">gulations has been updated to </w:t>
      </w:r>
      <w:r w:rsidR="002627E2">
        <w:rPr>
          <w:rFonts w:cs="Arial"/>
          <w:szCs w:val="20"/>
        </w:rPr>
        <w:t xml:space="preserve">incorporate current practice and </w:t>
      </w:r>
      <w:r w:rsidR="001531CB">
        <w:rPr>
          <w:rFonts w:cs="Arial"/>
          <w:szCs w:val="20"/>
        </w:rPr>
        <w:t>clarify the requirements for passing a module and a programme</w:t>
      </w:r>
      <w:r w:rsidR="002627E2">
        <w:rPr>
          <w:rFonts w:cs="Arial"/>
          <w:szCs w:val="20"/>
        </w:rPr>
        <w:t>.</w:t>
      </w:r>
    </w:p>
    <w:p w14:paraId="5332E4C5" w14:textId="77777777" w:rsidR="002627E2" w:rsidRPr="002627E2" w:rsidRDefault="002627E2" w:rsidP="00862287">
      <w:pPr>
        <w:pStyle w:val="ListParagraph"/>
        <w:numPr>
          <w:ilvl w:val="0"/>
          <w:numId w:val="4"/>
        </w:numPr>
        <w:spacing w:before="60" w:after="120"/>
        <w:ind w:right="-2"/>
        <w:contextualSpacing w:val="0"/>
        <w:rPr>
          <w:rFonts w:cs="Arial"/>
          <w:b/>
          <w:szCs w:val="20"/>
        </w:rPr>
      </w:pPr>
      <w:r>
        <w:rPr>
          <w:rFonts w:cs="Arial"/>
          <w:szCs w:val="20"/>
        </w:rPr>
        <w:t xml:space="preserve">Expectations for </w:t>
      </w:r>
      <w:r w:rsidRPr="00A71AC1">
        <w:rPr>
          <w:rFonts w:cs="Arial"/>
          <w:b/>
          <w:szCs w:val="20"/>
        </w:rPr>
        <w:t>student participation and attendance</w:t>
      </w:r>
      <w:r>
        <w:rPr>
          <w:rFonts w:cs="Arial"/>
          <w:szCs w:val="20"/>
        </w:rPr>
        <w:t xml:space="preserve"> have been updated, noting that attendance for some programmes/modules is mandatory (see 4.4)</w:t>
      </w:r>
    </w:p>
    <w:p w14:paraId="627F43AA" w14:textId="77777777" w:rsidR="002627E2" w:rsidRPr="002627E2" w:rsidRDefault="002627E2" w:rsidP="00862287">
      <w:pPr>
        <w:pStyle w:val="ListParagraph"/>
        <w:numPr>
          <w:ilvl w:val="0"/>
          <w:numId w:val="4"/>
        </w:numPr>
        <w:spacing w:before="60" w:after="120"/>
        <w:ind w:right="-2"/>
        <w:contextualSpacing w:val="0"/>
        <w:rPr>
          <w:rFonts w:cs="Arial"/>
          <w:b/>
          <w:szCs w:val="20"/>
        </w:rPr>
      </w:pPr>
      <w:r>
        <w:rPr>
          <w:rFonts w:cs="Arial"/>
          <w:szCs w:val="20"/>
        </w:rPr>
        <w:t xml:space="preserve">If a student </w:t>
      </w:r>
      <w:r w:rsidRPr="00A71AC1">
        <w:rPr>
          <w:rFonts w:cs="Arial"/>
          <w:b/>
          <w:szCs w:val="20"/>
        </w:rPr>
        <w:t>fails to participate in an assessment</w:t>
      </w:r>
      <w:r>
        <w:rPr>
          <w:rFonts w:cs="Arial"/>
          <w:szCs w:val="20"/>
        </w:rPr>
        <w:t xml:space="preserve"> they will be offered a resit opportunity (see 4.4.2 and also </w:t>
      </w:r>
      <w:r w:rsidR="007E37C0">
        <w:rPr>
          <w:rFonts w:cs="Arial"/>
          <w:szCs w:val="20"/>
        </w:rPr>
        <w:t>4.7.2</w:t>
      </w:r>
      <w:r>
        <w:rPr>
          <w:rFonts w:cs="Arial"/>
          <w:szCs w:val="20"/>
        </w:rPr>
        <w:t xml:space="preserve">) regardless of whether extenuating circumstances have been claimed.  If the </w:t>
      </w:r>
      <w:proofErr w:type="spellStart"/>
      <w:r>
        <w:rPr>
          <w:rFonts w:cs="Arial"/>
          <w:szCs w:val="20"/>
        </w:rPr>
        <w:t>resit</w:t>
      </w:r>
      <w:proofErr w:type="spellEnd"/>
      <w:r>
        <w:rPr>
          <w:rFonts w:cs="Arial"/>
          <w:szCs w:val="20"/>
        </w:rPr>
        <w:t xml:space="preserve"> is not completed or passed, the student will be withdrawn by the Assessment Board.</w:t>
      </w:r>
    </w:p>
    <w:p w14:paraId="4753B264" w14:textId="77777777" w:rsidR="002627E2" w:rsidRPr="007F4CC0" w:rsidRDefault="002627E2" w:rsidP="00862287">
      <w:pPr>
        <w:pStyle w:val="ListParagraph"/>
        <w:numPr>
          <w:ilvl w:val="0"/>
          <w:numId w:val="4"/>
        </w:numPr>
        <w:spacing w:before="60" w:after="120"/>
        <w:ind w:right="-2"/>
        <w:contextualSpacing w:val="0"/>
        <w:rPr>
          <w:rFonts w:cs="Arial"/>
          <w:b/>
          <w:szCs w:val="20"/>
        </w:rPr>
      </w:pPr>
      <w:r>
        <w:rPr>
          <w:rFonts w:cs="Arial"/>
          <w:szCs w:val="20"/>
        </w:rPr>
        <w:t xml:space="preserve">Minor change to the </w:t>
      </w:r>
      <w:r w:rsidRPr="00A71AC1">
        <w:rPr>
          <w:rFonts w:cs="Arial"/>
          <w:b/>
          <w:szCs w:val="20"/>
        </w:rPr>
        <w:t>Professional Training Requirement</w:t>
      </w:r>
      <w:r>
        <w:rPr>
          <w:rFonts w:cs="Arial"/>
          <w:szCs w:val="20"/>
        </w:rPr>
        <w:t xml:space="preserve"> assessment (see 4.5) </w:t>
      </w:r>
    </w:p>
    <w:p w14:paraId="70EF73CD" w14:textId="77777777" w:rsidR="007F4CC0" w:rsidRDefault="00250152" w:rsidP="00862287">
      <w:pPr>
        <w:pStyle w:val="ListParagraph"/>
        <w:numPr>
          <w:ilvl w:val="0"/>
          <w:numId w:val="4"/>
        </w:numPr>
        <w:spacing w:before="60" w:after="120"/>
        <w:ind w:right="-2"/>
        <w:contextualSpacing w:val="0"/>
        <w:rPr>
          <w:rFonts w:cs="Arial"/>
          <w:b/>
          <w:szCs w:val="20"/>
        </w:rPr>
      </w:pPr>
      <w:r>
        <w:rPr>
          <w:rFonts w:cs="Arial"/>
          <w:szCs w:val="20"/>
        </w:rPr>
        <w:lastRenderedPageBreak/>
        <w:t xml:space="preserve">Clarification regarding award of credit for </w:t>
      </w:r>
      <w:r>
        <w:rPr>
          <w:rFonts w:cs="Arial"/>
          <w:b/>
          <w:szCs w:val="20"/>
        </w:rPr>
        <w:t>pass/fail modules</w:t>
      </w:r>
    </w:p>
    <w:p w14:paraId="2D3A78A2" w14:textId="77777777" w:rsidR="00D669C8" w:rsidRPr="00E04931" w:rsidRDefault="00D669C8" w:rsidP="00862287">
      <w:pPr>
        <w:pStyle w:val="ListParagraph"/>
        <w:numPr>
          <w:ilvl w:val="0"/>
          <w:numId w:val="4"/>
        </w:numPr>
        <w:spacing w:before="60" w:after="120"/>
        <w:ind w:right="-2"/>
        <w:contextualSpacing w:val="0"/>
        <w:rPr>
          <w:rFonts w:cs="Arial"/>
          <w:b/>
          <w:szCs w:val="20"/>
        </w:rPr>
      </w:pPr>
      <w:r>
        <w:rPr>
          <w:rFonts w:cs="Arial"/>
          <w:szCs w:val="20"/>
        </w:rPr>
        <w:t xml:space="preserve">if a student </w:t>
      </w:r>
      <w:r>
        <w:rPr>
          <w:rFonts w:cs="Arial"/>
          <w:b/>
          <w:szCs w:val="20"/>
        </w:rPr>
        <w:t xml:space="preserve">fails a module </w:t>
      </w:r>
      <w:r>
        <w:rPr>
          <w:rFonts w:cs="Arial"/>
          <w:szCs w:val="20"/>
        </w:rPr>
        <w:t xml:space="preserve">an Assessment Board </w:t>
      </w:r>
      <w:r w:rsidRPr="00D669C8">
        <w:t>may exercise discretion</w:t>
      </w:r>
      <w:r w:rsidR="00432212">
        <w:t xml:space="preserve"> where certain conditions are met,</w:t>
      </w:r>
      <w:r w:rsidRPr="00D669C8">
        <w:t xml:space="preserve"> in permitting a student to complete a limited number of outstanding assessments (no more than 15 credits) in the following academic year whilst continuing with the next block or stage of the Programme</w:t>
      </w:r>
      <w:r w:rsidR="00E04931">
        <w:t xml:space="preserve"> (see 4.7)</w:t>
      </w:r>
    </w:p>
    <w:p w14:paraId="3732ADC0" w14:textId="77777777" w:rsidR="00E04931" w:rsidRPr="007E37C0" w:rsidRDefault="00E04931" w:rsidP="00862287">
      <w:pPr>
        <w:pStyle w:val="ListParagraph"/>
        <w:numPr>
          <w:ilvl w:val="0"/>
          <w:numId w:val="4"/>
        </w:numPr>
        <w:spacing w:before="60" w:after="120"/>
        <w:ind w:right="-2"/>
        <w:contextualSpacing w:val="0"/>
        <w:rPr>
          <w:rFonts w:cs="Arial"/>
          <w:b/>
          <w:szCs w:val="20"/>
        </w:rPr>
      </w:pPr>
      <w:r>
        <w:rPr>
          <w:rFonts w:cs="Arial"/>
          <w:szCs w:val="20"/>
        </w:rPr>
        <w:t xml:space="preserve">Maximum amount of </w:t>
      </w:r>
      <w:r>
        <w:rPr>
          <w:rFonts w:cs="Arial"/>
          <w:b/>
          <w:szCs w:val="20"/>
        </w:rPr>
        <w:t xml:space="preserve">compensation </w:t>
      </w:r>
      <w:r>
        <w:rPr>
          <w:rFonts w:cs="Arial"/>
          <w:szCs w:val="20"/>
        </w:rPr>
        <w:t xml:space="preserve">permitted for Undergraduate/Graduate/Integrated Masters </w:t>
      </w:r>
      <w:r w:rsidR="007E37C0">
        <w:rPr>
          <w:rFonts w:cs="Arial"/>
          <w:szCs w:val="20"/>
        </w:rPr>
        <w:t>adjusted to 15 credits</w:t>
      </w:r>
      <w:r w:rsidR="00432212">
        <w:rPr>
          <w:rFonts w:cs="Arial"/>
          <w:szCs w:val="20"/>
        </w:rPr>
        <w:t>/one sixth of the</w:t>
      </w:r>
      <w:r w:rsidR="00021971">
        <w:rPr>
          <w:rFonts w:cs="Arial"/>
          <w:szCs w:val="20"/>
        </w:rPr>
        <w:t xml:space="preserve"> total credits for the</w:t>
      </w:r>
      <w:r w:rsidR="00432212">
        <w:rPr>
          <w:rFonts w:cs="Arial"/>
          <w:szCs w:val="20"/>
        </w:rPr>
        <w:t xml:space="preserve"> Programme Stage</w:t>
      </w:r>
      <w:r w:rsidR="007E37C0">
        <w:rPr>
          <w:rFonts w:cs="Arial"/>
          <w:szCs w:val="20"/>
        </w:rPr>
        <w:t xml:space="preserve"> to align with the Credit Framework, clarification regarding requirements for compensation </w:t>
      </w:r>
      <w:r w:rsidR="009B5158">
        <w:rPr>
          <w:rFonts w:cs="Arial"/>
          <w:szCs w:val="20"/>
        </w:rPr>
        <w:t xml:space="preserve">for </w:t>
      </w:r>
      <w:r w:rsidR="007E37C0">
        <w:rPr>
          <w:rFonts w:cs="Arial"/>
          <w:szCs w:val="20"/>
        </w:rPr>
        <w:t>Integrated Masters</w:t>
      </w:r>
      <w:r w:rsidR="009B5158">
        <w:rPr>
          <w:rFonts w:cs="Arial"/>
          <w:szCs w:val="20"/>
        </w:rPr>
        <w:t>,</w:t>
      </w:r>
      <w:r w:rsidR="007E37C0">
        <w:rPr>
          <w:rFonts w:cs="Arial"/>
          <w:szCs w:val="20"/>
        </w:rPr>
        <w:t xml:space="preserve"> and clarification on modules that cannot be compensated (pass/fail modules and those failed due to academic misconduct)</w:t>
      </w:r>
      <w:r w:rsidR="009B5158">
        <w:rPr>
          <w:rFonts w:cs="Arial"/>
          <w:szCs w:val="20"/>
        </w:rPr>
        <w:t xml:space="preserve"> (see 4.7.1)</w:t>
      </w:r>
    </w:p>
    <w:p w14:paraId="2E4082DB" w14:textId="77777777" w:rsidR="007E37C0" w:rsidRPr="009B5158" w:rsidRDefault="007E37C0" w:rsidP="00862287">
      <w:pPr>
        <w:pStyle w:val="ListParagraph"/>
        <w:numPr>
          <w:ilvl w:val="0"/>
          <w:numId w:val="4"/>
        </w:numPr>
        <w:spacing w:before="60" w:after="120"/>
        <w:ind w:right="-2"/>
        <w:contextualSpacing w:val="0"/>
        <w:rPr>
          <w:rFonts w:cs="Arial"/>
          <w:b/>
          <w:szCs w:val="20"/>
        </w:rPr>
      </w:pPr>
      <w:r>
        <w:rPr>
          <w:rFonts w:cs="Arial"/>
          <w:szCs w:val="20"/>
        </w:rPr>
        <w:t xml:space="preserve">Updates to the </w:t>
      </w:r>
      <w:r>
        <w:rPr>
          <w:rFonts w:cs="Arial"/>
          <w:b/>
          <w:szCs w:val="20"/>
        </w:rPr>
        <w:t xml:space="preserve">Resits </w:t>
      </w:r>
      <w:r w:rsidR="009B5158">
        <w:rPr>
          <w:rFonts w:cs="Arial"/>
          <w:szCs w:val="20"/>
        </w:rPr>
        <w:t>regulations (see 4.7.2) to clarify requirements regarding granting of resits, resit modes, resit rules for assessment components and clarification that if a lower mark is achieved in a resit than the original assessment, the lower mark stands.</w:t>
      </w:r>
    </w:p>
    <w:p w14:paraId="7BE8D8CE" w14:textId="77777777" w:rsidR="009B5158" w:rsidRPr="00F63B12" w:rsidRDefault="00F63B12" w:rsidP="00862287">
      <w:pPr>
        <w:pStyle w:val="ListParagraph"/>
        <w:numPr>
          <w:ilvl w:val="0"/>
          <w:numId w:val="4"/>
        </w:numPr>
        <w:spacing w:before="60" w:after="120"/>
        <w:ind w:right="-2"/>
        <w:contextualSpacing w:val="0"/>
        <w:rPr>
          <w:rFonts w:cs="Arial"/>
          <w:b/>
          <w:szCs w:val="20"/>
        </w:rPr>
      </w:pPr>
      <w:r>
        <w:rPr>
          <w:rFonts w:cs="Arial"/>
          <w:szCs w:val="20"/>
        </w:rPr>
        <w:t xml:space="preserve">Updates to the </w:t>
      </w:r>
      <w:r>
        <w:rPr>
          <w:rFonts w:cs="Arial"/>
          <w:b/>
          <w:szCs w:val="20"/>
        </w:rPr>
        <w:t xml:space="preserve">Partial Repeat Year </w:t>
      </w:r>
      <w:r>
        <w:rPr>
          <w:rFonts w:cs="Arial"/>
          <w:szCs w:val="20"/>
        </w:rPr>
        <w:t xml:space="preserve">provisions, to enable an Assessment Board to offer resits or a partial repeat year </w:t>
      </w:r>
      <w:r w:rsidRPr="00F63B12">
        <w:rPr>
          <w:rFonts w:cs="Arial"/>
          <w:szCs w:val="20"/>
          <w:u w:val="single"/>
        </w:rPr>
        <w:t>with attendance</w:t>
      </w:r>
      <w:r>
        <w:rPr>
          <w:rFonts w:cs="Arial"/>
          <w:szCs w:val="20"/>
        </w:rPr>
        <w:t xml:space="preserve"> where a student has multiple failed assessments</w:t>
      </w:r>
      <w:r w:rsidR="00432212">
        <w:rPr>
          <w:rFonts w:cs="Arial"/>
          <w:szCs w:val="20"/>
        </w:rPr>
        <w:t>. The option for an Assessment Board to offer a Partial or Full Repeat Year as a third and final attempt once compensation and resit opportunities have been exhausted has been removed</w:t>
      </w:r>
      <w:r>
        <w:rPr>
          <w:rFonts w:cs="Arial"/>
          <w:szCs w:val="20"/>
        </w:rPr>
        <w:t xml:space="preserve"> </w:t>
      </w:r>
      <w:r w:rsidR="00432212">
        <w:rPr>
          <w:rFonts w:cs="Arial"/>
          <w:szCs w:val="20"/>
        </w:rPr>
        <w:t xml:space="preserve">except where there are approved Extenuating Circumstances </w:t>
      </w:r>
      <w:r>
        <w:rPr>
          <w:rFonts w:cs="Arial"/>
          <w:szCs w:val="20"/>
        </w:rPr>
        <w:t>(see 4.7.3)</w:t>
      </w:r>
    </w:p>
    <w:p w14:paraId="2ED26174" w14:textId="77777777" w:rsidR="00F63B12" w:rsidRPr="0003621F" w:rsidRDefault="00F63B12" w:rsidP="00862287">
      <w:pPr>
        <w:pStyle w:val="ListParagraph"/>
        <w:numPr>
          <w:ilvl w:val="0"/>
          <w:numId w:val="4"/>
        </w:numPr>
        <w:spacing w:before="60" w:after="120"/>
        <w:ind w:right="-2"/>
        <w:contextualSpacing w:val="0"/>
        <w:rPr>
          <w:rFonts w:cs="Arial"/>
          <w:b/>
          <w:szCs w:val="20"/>
        </w:rPr>
      </w:pPr>
      <w:r>
        <w:rPr>
          <w:rFonts w:cs="Arial"/>
          <w:szCs w:val="20"/>
        </w:rPr>
        <w:t xml:space="preserve">Updated provisions for </w:t>
      </w:r>
      <w:r>
        <w:rPr>
          <w:rFonts w:cs="Arial"/>
          <w:b/>
          <w:szCs w:val="20"/>
        </w:rPr>
        <w:t xml:space="preserve">Full Repeat Years </w:t>
      </w:r>
      <w:r>
        <w:rPr>
          <w:rFonts w:cs="Arial"/>
          <w:szCs w:val="20"/>
        </w:rPr>
        <w:t>which are only permitted where a student has approved Extenuating Circumstances affecting multiple assessments or has been suspended in accordance with the Fitness to Study Regulation (see 4.7.4)</w:t>
      </w:r>
    </w:p>
    <w:p w14:paraId="57F17A7A" w14:textId="77777777" w:rsidR="0003621F" w:rsidRPr="002626C4" w:rsidRDefault="0038288A" w:rsidP="00862287">
      <w:pPr>
        <w:pStyle w:val="ListParagraph"/>
        <w:numPr>
          <w:ilvl w:val="0"/>
          <w:numId w:val="4"/>
        </w:numPr>
        <w:spacing w:before="60" w:after="120"/>
        <w:ind w:right="-2"/>
        <w:contextualSpacing w:val="0"/>
        <w:rPr>
          <w:rFonts w:cs="Arial"/>
          <w:b/>
          <w:szCs w:val="20"/>
        </w:rPr>
      </w:pPr>
      <w:r>
        <w:rPr>
          <w:rFonts w:cs="Arial"/>
          <w:szCs w:val="20"/>
        </w:rPr>
        <w:t xml:space="preserve">Updates to the </w:t>
      </w:r>
      <w:r w:rsidRPr="0038288A">
        <w:rPr>
          <w:rFonts w:cs="Arial"/>
          <w:b/>
          <w:szCs w:val="20"/>
        </w:rPr>
        <w:t>Extenuating Circumstances</w:t>
      </w:r>
      <w:r>
        <w:rPr>
          <w:rFonts w:cs="Arial"/>
          <w:szCs w:val="20"/>
        </w:rPr>
        <w:t xml:space="preserve"> section to clarify the requirements for submission of applications (see 4.8.1) the operation of the Extenuating Circumstances Panel (see 4.8.2), Assessment Board consideration of recommendations (see 4.8.3) and to set out provisions for students with disabilities or long-term conditions (4.8.4).</w:t>
      </w:r>
      <w:r w:rsidR="00A810B7">
        <w:rPr>
          <w:rFonts w:cs="Arial"/>
          <w:szCs w:val="20"/>
        </w:rPr>
        <w:t xml:space="preserve">  Some sections from the previous regulations are relocated to Policy and Guidance.</w:t>
      </w:r>
    </w:p>
    <w:p w14:paraId="65F48444" w14:textId="77777777" w:rsidR="002626C4" w:rsidRPr="00660B3A" w:rsidRDefault="002626C4" w:rsidP="00862287">
      <w:pPr>
        <w:pStyle w:val="ListParagraph"/>
        <w:numPr>
          <w:ilvl w:val="0"/>
          <w:numId w:val="4"/>
        </w:numPr>
        <w:spacing w:before="60" w:after="120"/>
        <w:ind w:right="-2"/>
        <w:contextualSpacing w:val="0"/>
        <w:rPr>
          <w:rFonts w:cs="Arial"/>
          <w:b/>
          <w:szCs w:val="20"/>
        </w:rPr>
      </w:pPr>
      <w:r>
        <w:rPr>
          <w:rFonts w:cs="Arial"/>
          <w:szCs w:val="20"/>
        </w:rPr>
        <w:t xml:space="preserve">The </w:t>
      </w:r>
      <w:r>
        <w:rPr>
          <w:rFonts w:cs="Arial"/>
          <w:i/>
          <w:szCs w:val="20"/>
        </w:rPr>
        <w:t xml:space="preserve">Accreditation of Prior (Experiential) Learning </w:t>
      </w:r>
      <w:r>
        <w:rPr>
          <w:rFonts w:cs="Arial"/>
          <w:szCs w:val="20"/>
        </w:rPr>
        <w:t xml:space="preserve">section has been updated to reflect sector practice and is now </w:t>
      </w:r>
      <w:r>
        <w:rPr>
          <w:rFonts w:cs="Arial"/>
          <w:b/>
          <w:szCs w:val="20"/>
        </w:rPr>
        <w:t xml:space="preserve">Recognition of Prior Learning </w:t>
      </w:r>
      <w:r>
        <w:rPr>
          <w:rFonts w:cs="Arial"/>
          <w:szCs w:val="20"/>
        </w:rPr>
        <w:t>(see 4.9).  The provisions for granting and monitoring Recognition or Prior Learning and Prior Experiential Learning have been updated.  Claims must be considered via a Panel or Course Board and students have a right to appeal against a decision.</w:t>
      </w:r>
    </w:p>
    <w:p w14:paraId="70831EC2" w14:textId="77777777" w:rsidR="00660B3A" w:rsidRPr="00660B3A" w:rsidRDefault="00660B3A" w:rsidP="00862287">
      <w:pPr>
        <w:pStyle w:val="ListParagraph"/>
        <w:numPr>
          <w:ilvl w:val="0"/>
          <w:numId w:val="4"/>
        </w:numPr>
        <w:spacing w:before="60" w:after="120"/>
        <w:ind w:right="-2"/>
        <w:contextualSpacing w:val="0"/>
        <w:rPr>
          <w:rFonts w:cs="Arial"/>
          <w:b/>
          <w:szCs w:val="20"/>
        </w:rPr>
      </w:pPr>
      <w:r>
        <w:rPr>
          <w:rFonts w:cs="Arial"/>
          <w:szCs w:val="20"/>
        </w:rPr>
        <w:t xml:space="preserve">The regulations for </w:t>
      </w:r>
      <w:r>
        <w:rPr>
          <w:rFonts w:cs="Arial"/>
          <w:b/>
          <w:szCs w:val="20"/>
        </w:rPr>
        <w:t xml:space="preserve">Exit Awards </w:t>
      </w:r>
      <w:r>
        <w:rPr>
          <w:rFonts w:cs="Arial"/>
          <w:szCs w:val="20"/>
        </w:rPr>
        <w:t>have been updated and a new section added (see 4.11.2).  Exit awards must be detailed in Programme Specifications.</w:t>
      </w:r>
    </w:p>
    <w:p w14:paraId="713FF48E" w14:textId="77777777" w:rsidR="00660B3A" w:rsidRPr="00660B3A" w:rsidRDefault="00660B3A" w:rsidP="00862287">
      <w:pPr>
        <w:pStyle w:val="ListParagraph"/>
        <w:numPr>
          <w:ilvl w:val="0"/>
          <w:numId w:val="4"/>
        </w:numPr>
        <w:spacing w:before="60" w:after="120"/>
        <w:ind w:right="-2"/>
        <w:contextualSpacing w:val="0"/>
        <w:rPr>
          <w:rFonts w:cs="Arial"/>
          <w:b/>
          <w:szCs w:val="20"/>
        </w:rPr>
      </w:pPr>
      <w:r>
        <w:rPr>
          <w:rFonts w:cs="Arial"/>
          <w:szCs w:val="20"/>
        </w:rPr>
        <w:t xml:space="preserve">Updates to the </w:t>
      </w:r>
      <w:r>
        <w:rPr>
          <w:rFonts w:cs="Arial"/>
          <w:b/>
          <w:szCs w:val="20"/>
        </w:rPr>
        <w:t xml:space="preserve">Transfer Provisions </w:t>
      </w:r>
      <w:r>
        <w:rPr>
          <w:rFonts w:cs="Arial"/>
          <w:szCs w:val="20"/>
        </w:rPr>
        <w:t>section detailing transfers to and from Integrated Masters’ awards (see 4.12).</w:t>
      </w:r>
    </w:p>
    <w:p w14:paraId="3D95E3FF" w14:textId="77777777" w:rsidR="00660B3A" w:rsidRPr="00660B3A" w:rsidRDefault="00660B3A" w:rsidP="00862287">
      <w:pPr>
        <w:pStyle w:val="ListParagraph"/>
        <w:numPr>
          <w:ilvl w:val="0"/>
          <w:numId w:val="4"/>
        </w:numPr>
        <w:spacing w:before="60" w:after="120"/>
        <w:ind w:right="-2"/>
        <w:contextualSpacing w:val="0"/>
        <w:rPr>
          <w:rFonts w:cs="Arial"/>
          <w:b/>
          <w:szCs w:val="20"/>
        </w:rPr>
      </w:pPr>
      <w:r>
        <w:rPr>
          <w:rFonts w:cs="Arial"/>
          <w:szCs w:val="20"/>
        </w:rPr>
        <w:t xml:space="preserve">A new section for </w:t>
      </w:r>
      <w:r>
        <w:rPr>
          <w:rFonts w:cs="Arial"/>
          <w:b/>
          <w:szCs w:val="20"/>
        </w:rPr>
        <w:t xml:space="preserve">Topping Up </w:t>
      </w:r>
      <w:r>
        <w:rPr>
          <w:rFonts w:cs="Arial"/>
          <w:szCs w:val="20"/>
        </w:rPr>
        <w:t>to a Diploma or Degree (see 4.13)</w:t>
      </w:r>
    </w:p>
    <w:p w14:paraId="3A588395" w14:textId="77777777" w:rsidR="00660B3A" w:rsidRPr="00660B3A" w:rsidRDefault="00660B3A" w:rsidP="00862287">
      <w:pPr>
        <w:pStyle w:val="ListParagraph"/>
        <w:numPr>
          <w:ilvl w:val="0"/>
          <w:numId w:val="4"/>
        </w:numPr>
        <w:spacing w:before="60" w:after="120"/>
        <w:ind w:right="-2"/>
        <w:contextualSpacing w:val="0"/>
        <w:rPr>
          <w:rFonts w:cs="Arial"/>
          <w:b/>
          <w:szCs w:val="20"/>
        </w:rPr>
      </w:pPr>
      <w:r>
        <w:rPr>
          <w:rFonts w:cs="Arial"/>
          <w:szCs w:val="20"/>
        </w:rPr>
        <w:t xml:space="preserve">A new section for </w:t>
      </w:r>
      <w:r>
        <w:rPr>
          <w:rFonts w:cs="Arial"/>
          <w:b/>
          <w:szCs w:val="20"/>
        </w:rPr>
        <w:t xml:space="preserve">Re-enrolment Following Failure </w:t>
      </w:r>
      <w:r>
        <w:rPr>
          <w:rFonts w:cs="Arial"/>
          <w:szCs w:val="20"/>
        </w:rPr>
        <w:t>(see 4.14)</w:t>
      </w:r>
    </w:p>
    <w:p w14:paraId="70BCABB7" w14:textId="77777777" w:rsidR="00660B3A" w:rsidRDefault="00660B3A" w:rsidP="00660B3A">
      <w:pPr>
        <w:pStyle w:val="ListParagraph"/>
        <w:numPr>
          <w:ilvl w:val="0"/>
          <w:numId w:val="4"/>
        </w:numPr>
        <w:spacing w:before="60" w:after="120"/>
        <w:ind w:right="-2"/>
        <w:contextualSpacing w:val="0"/>
      </w:pPr>
      <w:r>
        <w:t xml:space="preserve">The existing Senate Regulation 10 </w:t>
      </w:r>
      <w:proofErr w:type="spellStart"/>
      <w:r w:rsidRPr="00660B3A">
        <w:rPr>
          <w:b/>
          <w:i/>
        </w:rPr>
        <w:t>Aegrotat</w:t>
      </w:r>
      <w:proofErr w:type="spellEnd"/>
      <w:r w:rsidRPr="00660B3A">
        <w:rPr>
          <w:b/>
          <w:i/>
        </w:rPr>
        <w:t xml:space="preserve"> </w:t>
      </w:r>
      <w:r w:rsidRPr="00660B3A">
        <w:rPr>
          <w:b/>
        </w:rPr>
        <w:t>awards</w:t>
      </w:r>
      <w:r>
        <w:t xml:space="preserve"> has been incorporated into the Assessment Regulations (see 4.15)</w:t>
      </w:r>
    </w:p>
    <w:p w14:paraId="11147B5A" w14:textId="77777777" w:rsidR="00660B3A" w:rsidRDefault="00660B3A" w:rsidP="00660B3A">
      <w:pPr>
        <w:pStyle w:val="ListParagraph"/>
        <w:numPr>
          <w:ilvl w:val="0"/>
          <w:numId w:val="4"/>
        </w:numPr>
        <w:spacing w:before="60" w:after="120"/>
        <w:ind w:right="-2"/>
        <w:contextualSpacing w:val="0"/>
      </w:pPr>
      <w:r>
        <w:t xml:space="preserve">A new section for </w:t>
      </w:r>
      <w:r>
        <w:rPr>
          <w:b/>
        </w:rPr>
        <w:t xml:space="preserve">Posthumous Awards </w:t>
      </w:r>
      <w:r>
        <w:t>(see 4.16)</w:t>
      </w:r>
    </w:p>
    <w:p w14:paraId="59CCE683" w14:textId="77777777" w:rsidR="00660B3A" w:rsidRDefault="00660B3A" w:rsidP="00660B3A">
      <w:pPr>
        <w:pStyle w:val="ListParagraph"/>
        <w:numPr>
          <w:ilvl w:val="0"/>
          <w:numId w:val="4"/>
        </w:numPr>
        <w:spacing w:before="60" w:after="120"/>
        <w:ind w:right="-2"/>
        <w:contextualSpacing w:val="0"/>
      </w:pPr>
      <w:r>
        <w:t xml:space="preserve">A new section for </w:t>
      </w:r>
      <w:r>
        <w:rPr>
          <w:b/>
        </w:rPr>
        <w:t xml:space="preserve">Revocation of Awards </w:t>
      </w:r>
      <w:r>
        <w:t>(see 4.17)</w:t>
      </w:r>
    </w:p>
    <w:p w14:paraId="24B41FFC" w14:textId="77777777" w:rsidR="00660B3A" w:rsidRPr="00376EAC" w:rsidRDefault="00376EAC" w:rsidP="00862287">
      <w:pPr>
        <w:pStyle w:val="ListParagraph"/>
        <w:numPr>
          <w:ilvl w:val="0"/>
          <w:numId w:val="4"/>
        </w:numPr>
        <w:spacing w:before="60" w:after="120"/>
        <w:ind w:right="-2"/>
        <w:contextualSpacing w:val="0"/>
        <w:rPr>
          <w:rFonts w:cs="Arial"/>
          <w:b/>
          <w:szCs w:val="20"/>
        </w:rPr>
      </w:pPr>
      <w:r>
        <w:rPr>
          <w:rFonts w:cs="Arial"/>
          <w:szCs w:val="20"/>
        </w:rPr>
        <w:t xml:space="preserve">In exceptional circumstances, </w:t>
      </w:r>
      <w:r>
        <w:rPr>
          <w:rFonts w:cs="Arial"/>
          <w:b/>
          <w:szCs w:val="20"/>
        </w:rPr>
        <w:t xml:space="preserve">Interruption of Studies </w:t>
      </w:r>
      <w:r>
        <w:rPr>
          <w:rFonts w:cs="Arial"/>
          <w:szCs w:val="20"/>
        </w:rPr>
        <w:t>can be invoked via the Fitness to Study Regulation (see 4.19)</w:t>
      </w:r>
    </w:p>
    <w:p w14:paraId="2D3BCBB5" w14:textId="77777777" w:rsidR="00376EAC" w:rsidRDefault="00376EAC" w:rsidP="00862287">
      <w:pPr>
        <w:pStyle w:val="ListParagraph"/>
        <w:numPr>
          <w:ilvl w:val="0"/>
          <w:numId w:val="4"/>
        </w:numPr>
        <w:spacing w:before="60" w:after="120"/>
        <w:ind w:right="-2"/>
        <w:contextualSpacing w:val="0"/>
        <w:rPr>
          <w:rFonts w:cs="Arial"/>
          <w:b/>
          <w:szCs w:val="20"/>
        </w:rPr>
      </w:pPr>
      <w:r>
        <w:rPr>
          <w:rFonts w:cs="Arial"/>
          <w:szCs w:val="20"/>
        </w:rPr>
        <w:t xml:space="preserve">A new section for </w:t>
      </w:r>
      <w:r>
        <w:rPr>
          <w:rFonts w:cs="Arial"/>
          <w:b/>
          <w:szCs w:val="20"/>
        </w:rPr>
        <w:t xml:space="preserve">Leaving a Programme </w:t>
      </w:r>
      <w:r>
        <w:rPr>
          <w:rFonts w:cs="Arial"/>
          <w:szCs w:val="20"/>
        </w:rPr>
        <w:t>(see 4.20)</w:t>
      </w:r>
    </w:p>
    <w:p w14:paraId="0373A7C9" w14:textId="799A90CF" w:rsidR="00426E58" w:rsidRDefault="00426E58">
      <w:pPr>
        <w:rPr>
          <w:rFonts w:cs="Arial"/>
          <w:b/>
          <w:szCs w:val="20"/>
        </w:rPr>
      </w:pPr>
      <w:r>
        <w:rPr>
          <w:rFonts w:cs="Arial"/>
          <w:b/>
          <w:szCs w:val="20"/>
        </w:rPr>
        <w:br w:type="page"/>
      </w:r>
    </w:p>
    <w:p w14:paraId="06F87D93" w14:textId="77777777" w:rsidR="00A810B7" w:rsidRPr="00766898" w:rsidRDefault="00A810B7" w:rsidP="00862287">
      <w:pPr>
        <w:pStyle w:val="ListParagraph"/>
        <w:numPr>
          <w:ilvl w:val="0"/>
          <w:numId w:val="2"/>
        </w:numPr>
        <w:spacing w:before="60" w:after="120"/>
        <w:ind w:left="360" w:right="-2"/>
        <w:contextualSpacing w:val="0"/>
        <w:rPr>
          <w:rFonts w:cs="Arial"/>
          <w:b/>
          <w:szCs w:val="20"/>
        </w:rPr>
      </w:pPr>
      <w:r>
        <w:rPr>
          <w:b/>
        </w:rPr>
        <w:lastRenderedPageBreak/>
        <w:t>Academic Standards, Marking and Feedback</w:t>
      </w:r>
    </w:p>
    <w:p w14:paraId="05F622AF" w14:textId="77777777" w:rsidR="00766898" w:rsidRPr="00766898" w:rsidRDefault="00766898" w:rsidP="00766898">
      <w:pPr>
        <w:pStyle w:val="ListParagraph"/>
        <w:numPr>
          <w:ilvl w:val="0"/>
          <w:numId w:val="6"/>
        </w:numPr>
        <w:spacing w:before="60" w:after="120"/>
        <w:ind w:right="-2"/>
        <w:contextualSpacing w:val="0"/>
        <w:rPr>
          <w:rFonts w:cs="Arial"/>
          <w:b/>
          <w:szCs w:val="20"/>
        </w:rPr>
      </w:pPr>
      <w:r>
        <w:rPr>
          <w:rFonts w:cs="Arial"/>
          <w:szCs w:val="20"/>
        </w:rPr>
        <w:t xml:space="preserve">A new section on </w:t>
      </w:r>
      <w:r>
        <w:rPr>
          <w:rFonts w:cs="Arial"/>
          <w:b/>
          <w:szCs w:val="20"/>
        </w:rPr>
        <w:t xml:space="preserve">Marking and Moderation </w:t>
      </w:r>
      <w:r>
        <w:rPr>
          <w:rFonts w:cs="Arial"/>
          <w:szCs w:val="20"/>
        </w:rPr>
        <w:t>(see 5.3) to align with the Assessment Feedback Policy and current practice</w:t>
      </w:r>
    </w:p>
    <w:p w14:paraId="4E9D427B" w14:textId="77777777" w:rsidR="00766898" w:rsidRPr="00766898" w:rsidRDefault="00766898" w:rsidP="00766898">
      <w:pPr>
        <w:pStyle w:val="ListParagraph"/>
        <w:numPr>
          <w:ilvl w:val="0"/>
          <w:numId w:val="6"/>
        </w:numPr>
        <w:spacing w:before="60" w:after="120"/>
        <w:ind w:right="-2"/>
        <w:contextualSpacing w:val="0"/>
        <w:rPr>
          <w:rFonts w:cs="Arial"/>
          <w:b/>
          <w:szCs w:val="20"/>
        </w:rPr>
      </w:pPr>
      <w:r>
        <w:rPr>
          <w:rFonts w:cs="Arial"/>
          <w:szCs w:val="20"/>
        </w:rPr>
        <w:t xml:space="preserve">Clarification on the responsibilities of </w:t>
      </w:r>
      <w:r>
        <w:rPr>
          <w:rFonts w:cs="Arial"/>
          <w:b/>
          <w:szCs w:val="20"/>
        </w:rPr>
        <w:t xml:space="preserve">Internal Examiners </w:t>
      </w:r>
      <w:r>
        <w:rPr>
          <w:rFonts w:cs="Arial"/>
          <w:szCs w:val="20"/>
        </w:rPr>
        <w:t>relating to arranging assessments and for attendance at Assessment Boards</w:t>
      </w:r>
    </w:p>
    <w:p w14:paraId="020C374A" w14:textId="3F573446" w:rsidR="00766898" w:rsidRPr="00766898" w:rsidRDefault="00766898" w:rsidP="00766898">
      <w:pPr>
        <w:pStyle w:val="ListParagraph"/>
        <w:numPr>
          <w:ilvl w:val="0"/>
          <w:numId w:val="6"/>
        </w:numPr>
        <w:spacing w:before="60" w:after="120"/>
        <w:ind w:right="-2"/>
        <w:contextualSpacing w:val="0"/>
        <w:rPr>
          <w:rFonts w:cs="Arial"/>
          <w:b/>
          <w:szCs w:val="20"/>
        </w:rPr>
      </w:pPr>
      <w:r>
        <w:rPr>
          <w:rFonts w:cs="Arial"/>
          <w:szCs w:val="20"/>
        </w:rPr>
        <w:t xml:space="preserve">Some text from the previous </w:t>
      </w:r>
      <w:r>
        <w:rPr>
          <w:rFonts w:cs="Arial"/>
          <w:b/>
          <w:szCs w:val="20"/>
        </w:rPr>
        <w:t xml:space="preserve">External Examiners </w:t>
      </w:r>
      <w:r>
        <w:rPr>
          <w:rFonts w:cs="Arial"/>
          <w:szCs w:val="20"/>
        </w:rPr>
        <w:t xml:space="preserve">regulation is relocated to Policy and Guidance.  Incorporation of existing practice in the External Examiners’ duties section </w:t>
      </w:r>
      <w:r w:rsidR="00021971">
        <w:rPr>
          <w:rFonts w:cs="Arial"/>
          <w:szCs w:val="20"/>
        </w:rPr>
        <w:t>to</w:t>
      </w:r>
      <w:r>
        <w:rPr>
          <w:rFonts w:cs="Arial"/>
          <w:szCs w:val="20"/>
        </w:rPr>
        <w:t xml:space="preserve"> clarify responsibility to comment on all assessment tasks contributing to final awards and attendance at oral or practical assessments (see 5.6.2)</w:t>
      </w:r>
    </w:p>
    <w:p w14:paraId="29B1B3C1" w14:textId="0F7D3727" w:rsidR="00766898" w:rsidRPr="00D87EED" w:rsidRDefault="00766898" w:rsidP="00766898">
      <w:pPr>
        <w:pStyle w:val="ListParagraph"/>
        <w:numPr>
          <w:ilvl w:val="0"/>
          <w:numId w:val="6"/>
        </w:numPr>
        <w:spacing w:before="60" w:after="120"/>
        <w:ind w:right="-2"/>
        <w:contextualSpacing w:val="0"/>
        <w:rPr>
          <w:rFonts w:cs="Arial"/>
          <w:b/>
          <w:szCs w:val="20"/>
        </w:rPr>
      </w:pPr>
      <w:r w:rsidRPr="00D87EED">
        <w:rPr>
          <w:rFonts w:cs="Arial"/>
          <w:szCs w:val="20"/>
        </w:rPr>
        <w:t xml:space="preserve">Updates to the </w:t>
      </w:r>
      <w:r w:rsidRPr="00D87EED">
        <w:rPr>
          <w:rFonts w:cs="Arial"/>
          <w:b/>
          <w:szCs w:val="20"/>
        </w:rPr>
        <w:t xml:space="preserve">Academic Misconduct </w:t>
      </w:r>
      <w:r w:rsidRPr="00D87EED">
        <w:rPr>
          <w:rFonts w:cs="Arial"/>
          <w:szCs w:val="20"/>
        </w:rPr>
        <w:t>section (see 5.7) to set out provisions for dealing with poor academic pra</w:t>
      </w:r>
      <w:r w:rsidR="009E38B1" w:rsidRPr="00D87EED">
        <w:rPr>
          <w:rFonts w:cs="Arial"/>
          <w:szCs w:val="20"/>
        </w:rPr>
        <w:t xml:space="preserve">ctice and academic misconduct, including the use of technology to detect incidences.  </w:t>
      </w:r>
      <w:r w:rsidR="00021971">
        <w:rPr>
          <w:rFonts w:cs="Arial"/>
          <w:szCs w:val="20"/>
        </w:rPr>
        <w:t>Updates to s</w:t>
      </w:r>
      <w:r w:rsidR="00D87EED">
        <w:rPr>
          <w:rFonts w:cs="Arial"/>
          <w:szCs w:val="20"/>
        </w:rPr>
        <w:t>cope</w:t>
      </w:r>
      <w:r w:rsidR="00075211">
        <w:rPr>
          <w:rFonts w:cs="Arial"/>
          <w:szCs w:val="20"/>
        </w:rPr>
        <w:t xml:space="preserve">, </w:t>
      </w:r>
      <w:r w:rsidR="00D87EED">
        <w:rPr>
          <w:rFonts w:cs="Arial"/>
          <w:szCs w:val="20"/>
        </w:rPr>
        <w:t xml:space="preserve">remit </w:t>
      </w:r>
      <w:r w:rsidR="00075211">
        <w:rPr>
          <w:rFonts w:cs="Arial"/>
          <w:szCs w:val="20"/>
        </w:rPr>
        <w:t xml:space="preserve">and conduct </w:t>
      </w:r>
      <w:r w:rsidR="00D87EED">
        <w:rPr>
          <w:rFonts w:cs="Arial"/>
          <w:szCs w:val="20"/>
        </w:rPr>
        <w:t xml:space="preserve">of </w:t>
      </w:r>
      <w:r w:rsidR="009E38B1" w:rsidRPr="00D87EED">
        <w:rPr>
          <w:rFonts w:cs="Arial"/>
          <w:szCs w:val="20"/>
        </w:rPr>
        <w:t>Preliminary Investigations</w:t>
      </w:r>
      <w:r w:rsidR="00D87EED">
        <w:rPr>
          <w:rFonts w:cs="Arial"/>
          <w:szCs w:val="20"/>
        </w:rPr>
        <w:t xml:space="preserve"> and Academic Misconduct Panels.</w:t>
      </w:r>
      <w:r w:rsidR="00075211">
        <w:rPr>
          <w:rFonts w:cs="Arial"/>
          <w:szCs w:val="20"/>
        </w:rPr>
        <w:t xml:space="preserve"> </w:t>
      </w:r>
      <w:r w:rsidR="004F479C">
        <w:rPr>
          <w:rFonts w:cs="Arial"/>
          <w:szCs w:val="20"/>
        </w:rPr>
        <w:t xml:space="preserve"> Updated range of </w:t>
      </w:r>
      <w:r w:rsidR="00A0661A" w:rsidRPr="00A0661A">
        <w:rPr>
          <w:rFonts w:cs="Arial"/>
          <w:b/>
          <w:szCs w:val="20"/>
        </w:rPr>
        <w:t xml:space="preserve">Academic Misconduct </w:t>
      </w:r>
      <w:r w:rsidR="004F479C" w:rsidRPr="00A0661A">
        <w:rPr>
          <w:rFonts w:cs="Arial"/>
          <w:b/>
          <w:szCs w:val="20"/>
        </w:rPr>
        <w:t>Sanctions</w:t>
      </w:r>
      <w:r w:rsidR="004F479C">
        <w:rPr>
          <w:rFonts w:cs="Arial"/>
          <w:szCs w:val="20"/>
        </w:rPr>
        <w:t xml:space="preserve"> (Appendix </w:t>
      </w:r>
      <w:r w:rsidR="00676AE2">
        <w:rPr>
          <w:rFonts w:cs="Arial"/>
          <w:szCs w:val="20"/>
        </w:rPr>
        <w:t>3</w:t>
      </w:r>
      <w:r w:rsidR="004F479C">
        <w:rPr>
          <w:rFonts w:cs="Arial"/>
          <w:szCs w:val="20"/>
        </w:rPr>
        <w:t xml:space="preserve">) that may be recommended and considered </w:t>
      </w:r>
      <w:r w:rsidR="00A0661A">
        <w:rPr>
          <w:rFonts w:cs="Arial"/>
          <w:szCs w:val="20"/>
        </w:rPr>
        <w:t xml:space="preserve">by the Assessment Board, </w:t>
      </w:r>
      <w:r w:rsidR="00021971">
        <w:rPr>
          <w:rFonts w:cs="Arial"/>
          <w:szCs w:val="20"/>
        </w:rPr>
        <w:t xml:space="preserve">and updates to </w:t>
      </w:r>
      <w:r w:rsidR="00A0661A">
        <w:rPr>
          <w:rFonts w:cs="Arial"/>
          <w:szCs w:val="20"/>
        </w:rPr>
        <w:t>recording of outcomes</w:t>
      </w:r>
      <w:r w:rsidR="00475161">
        <w:rPr>
          <w:rFonts w:cs="Arial"/>
          <w:szCs w:val="20"/>
        </w:rPr>
        <w:t xml:space="preserve"> and oversight</w:t>
      </w:r>
      <w:r w:rsidR="00A0661A">
        <w:rPr>
          <w:rFonts w:cs="Arial"/>
          <w:szCs w:val="20"/>
        </w:rPr>
        <w:t>.</w:t>
      </w:r>
    </w:p>
    <w:p w14:paraId="000ECF0C" w14:textId="77777777" w:rsidR="003877D9" w:rsidRPr="00A810B7" w:rsidRDefault="003877D9" w:rsidP="00A810B7">
      <w:pPr>
        <w:pStyle w:val="ListParagraph"/>
        <w:spacing w:before="60" w:after="120"/>
        <w:ind w:left="360" w:right="-2"/>
        <w:contextualSpacing w:val="0"/>
        <w:rPr>
          <w:rFonts w:cs="Arial"/>
          <w:b/>
          <w:szCs w:val="20"/>
        </w:rPr>
      </w:pPr>
    </w:p>
    <w:p w14:paraId="5329BB87" w14:textId="77777777" w:rsidR="00950600" w:rsidRPr="009B394A" w:rsidRDefault="00950600" w:rsidP="00862287">
      <w:pPr>
        <w:pStyle w:val="ListParagraph"/>
        <w:numPr>
          <w:ilvl w:val="0"/>
          <w:numId w:val="2"/>
        </w:numPr>
        <w:spacing w:before="60" w:after="120"/>
        <w:ind w:left="360" w:right="-2"/>
        <w:contextualSpacing w:val="0"/>
        <w:rPr>
          <w:rFonts w:cs="Arial"/>
          <w:b/>
          <w:szCs w:val="20"/>
        </w:rPr>
      </w:pPr>
      <w:r>
        <w:rPr>
          <w:b/>
        </w:rPr>
        <w:t>Assessment Boards</w:t>
      </w:r>
    </w:p>
    <w:p w14:paraId="030BFE6B" w14:textId="77777777" w:rsidR="00950600" w:rsidRDefault="00E161D7" w:rsidP="00644BB7">
      <w:pPr>
        <w:pStyle w:val="ListParagraph"/>
        <w:numPr>
          <w:ilvl w:val="0"/>
          <w:numId w:val="8"/>
        </w:numPr>
        <w:spacing w:before="60" w:after="120"/>
        <w:ind w:right="-2"/>
        <w:contextualSpacing w:val="0"/>
      </w:pPr>
      <w:r w:rsidRPr="001E6B13">
        <w:t>Previous reference</w:t>
      </w:r>
      <w:r>
        <w:t>s</w:t>
      </w:r>
      <w:r w:rsidRPr="001E6B13">
        <w:t xml:space="preserve"> to </w:t>
      </w:r>
      <w:r w:rsidRPr="00950600">
        <w:rPr>
          <w:b/>
        </w:rPr>
        <w:t>Assessment Boards</w:t>
      </w:r>
      <w:r w:rsidRPr="001E6B13">
        <w:t xml:space="preserve"> ‘making recommendations to Senate’</w:t>
      </w:r>
      <w:r>
        <w:t xml:space="preserve"> have been </w:t>
      </w:r>
      <w:r w:rsidRPr="001E6B13">
        <w:t xml:space="preserve">revised to state that Assessment Boards </w:t>
      </w:r>
      <w:r>
        <w:t>approve</w:t>
      </w:r>
      <w:r w:rsidRPr="001E6B13">
        <w:t xml:space="preserve"> decisions, to align with Regulation 27 Delegation of Senate Authority</w:t>
      </w:r>
      <w:r>
        <w:t>*</w:t>
      </w:r>
      <w:r w:rsidR="008C721B">
        <w:t xml:space="preserve"> (see 6 and 6.1)</w:t>
      </w:r>
      <w:r>
        <w:t xml:space="preserve">  The section relating to </w:t>
      </w:r>
      <w:r w:rsidRPr="00950600">
        <w:rPr>
          <w:b/>
        </w:rPr>
        <w:t>Quoracy of Assessment Boards</w:t>
      </w:r>
      <w:r>
        <w:t xml:space="preserve"> (6.4) has been strengthened to reflect this delegation of authority.  </w:t>
      </w:r>
    </w:p>
    <w:p w14:paraId="7E2BFDD9" w14:textId="01F1F423" w:rsidR="00950600" w:rsidRDefault="00950600" w:rsidP="00950600">
      <w:pPr>
        <w:pStyle w:val="ListParagraph"/>
        <w:spacing w:before="60" w:after="120"/>
        <w:ind w:right="-2"/>
        <w:contextualSpacing w:val="0"/>
      </w:pPr>
      <w:r>
        <w:t>*</w:t>
      </w:r>
      <w:r w:rsidRPr="001E6B13">
        <w:t xml:space="preserve"> (except for </w:t>
      </w:r>
      <w:proofErr w:type="spellStart"/>
      <w:r w:rsidRPr="001E6B13">
        <w:rPr>
          <w:i/>
        </w:rPr>
        <w:t>Aegrotat</w:t>
      </w:r>
      <w:proofErr w:type="spellEnd"/>
      <w:r w:rsidRPr="001E6B13">
        <w:rPr>
          <w:i/>
        </w:rPr>
        <w:t xml:space="preserve"> </w:t>
      </w:r>
      <w:r w:rsidRPr="001E6B13">
        <w:t xml:space="preserve">and Posthumous awards, </w:t>
      </w:r>
      <w:r>
        <w:t xml:space="preserve">which are </w:t>
      </w:r>
      <w:r w:rsidRPr="001E6B13">
        <w:t xml:space="preserve">approved by the </w:t>
      </w:r>
      <w:r>
        <w:t xml:space="preserve">Director of Student and </w:t>
      </w:r>
      <w:r w:rsidRPr="001E6B13">
        <w:t xml:space="preserve">Academic </w:t>
      </w:r>
      <w:r>
        <w:t>Services</w:t>
      </w:r>
      <w:r w:rsidR="00021971">
        <w:t xml:space="preserve"> on behalf of</w:t>
      </w:r>
      <w:r w:rsidRPr="001E6B13">
        <w:t xml:space="preserve"> Senate)</w:t>
      </w:r>
      <w:r>
        <w:t>.</w:t>
      </w:r>
    </w:p>
    <w:p w14:paraId="78B669C3" w14:textId="77777777" w:rsidR="00676AE2" w:rsidRDefault="00676AE2" w:rsidP="00644BB7">
      <w:pPr>
        <w:pStyle w:val="ListParagraph"/>
        <w:numPr>
          <w:ilvl w:val="0"/>
          <w:numId w:val="8"/>
        </w:numPr>
        <w:spacing w:before="60" w:after="120"/>
        <w:ind w:right="-2"/>
        <w:contextualSpacing w:val="0"/>
      </w:pPr>
      <w:r>
        <w:rPr>
          <w:b/>
        </w:rPr>
        <w:t xml:space="preserve">Membership of Assessment Boards and Advisory Panels </w:t>
      </w:r>
      <w:r>
        <w:t>is set out in Appendix 2.</w:t>
      </w:r>
    </w:p>
    <w:p w14:paraId="09045F65" w14:textId="77777777" w:rsidR="008C721B" w:rsidRDefault="008C721B" w:rsidP="00644BB7">
      <w:pPr>
        <w:pStyle w:val="ListParagraph"/>
        <w:numPr>
          <w:ilvl w:val="0"/>
          <w:numId w:val="8"/>
        </w:numPr>
        <w:spacing w:before="60" w:after="120"/>
        <w:ind w:right="-2"/>
        <w:contextualSpacing w:val="0"/>
      </w:pPr>
      <w:r>
        <w:t xml:space="preserve">Updates to the </w:t>
      </w:r>
      <w:r w:rsidR="00CF53B1">
        <w:rPr>
          <w:b/>
        </w:rPr>
        <w:t xml:space="preserve">Role of the Assessment Board </w:t>
      </w:r>
      <w:r w:rsidR="00CF53B1">
        <w:t xml:space="preserve">(see 6.1) including the protocol for </w:t>
      </w:r>
      <w:r w:rsidR="00CF53B1">
        <w:rPr>
          <w:b/>
        </w:rPr>
        <w:t xml:space="preserve">upgrading of classifications </w:t>
      </w:r>
      <w:r w:rsidR="00CF53B1">
        <w:t>(6.6), confidentiality (6.7), reporting of significant risks and use of Chair’s Action (6.8)</w:t>
      </w:r>
    </w:p>
    <w:p w14:paraId="07CC5B6B" w14:textId="77777777" w:rsidR="00E161D7" w:rsidRDefault="00E161D7" w:rsidP="00644BB7">
      <w:pPr>
        <w:pStyle w:val="ListParagraph"/>
        <w:numPr>
          <w:ilvl w:val="0"/>
          <w:numId w:val="8"/>
        </w:numPr>
        <w:spacing w:before="60" w:after="120"/>
        <w:ind w:right="-2"/>
        <w:contextualSpacing w:val="0"/>
      </w:pPr>
      <w:r>
        <w:t xml:space="preserve">The roles and responsibilities of </w:t>
      </w:r>
      <w:r w:rsidRPr="00950600">
        <w:rPr>
          <w:b/>
        </w:rPr>
        <w:t>Assessment Board advisory panels</w:t>
      </w:r>
      <w:r>
        <w:t xml:space="preserve"> </w:t>
      </w:r>
      <w:r w:rsidR="00CF53B1">
        <w:t xml:space="preserve">(6.9), i.e. </w:t>
      </w:r>
      <w:r w:rsidR="00CF53B1">
        <w:rPr>
          <w:b/>
        </w:rPr>
        <w:t xml:space="preserve">Module Panels </w:t>
      </w:r>
      <w:r w:rsidR="00CF53B1">
        <w:t>(see 6.9.1)</w:t>
      </w:r>
      <w:r w:rsidR="00CF53B1">
        <w:rPr>
          <w:b/>
        </w:rPr>
        <w:t xml:space="preserve">, Interim Assessment Panels </w:t>
      </w:r>
      <w:r w:rsidR="00CF53B1">
        <w:t>(see 6.9.2) and</w:t>
      </w:r>
      <w:r w:rsidR="00CF53B1">
        <w:rPr>
          <w:b/>
        </w:rPr>
        <w:t xml:space="preserve"> Preliminary Assessment Panels </w:t>
      </w:r>
      <w:r w:rsidR="00CF53B1">
        <w:t>(see 6.9.3)</w:t>
      </w:r>
      <w:r w:rsidR="00CF53B1">
        <w:rPr>
          <w:b/>
        </w:rPr>
        <w:t xml:space="preserve">, </w:t>
      </w:r>
      <w:r>
        <w:t>have been clarified to ensure all decisions relating to progression and award are made by Assessment Boards only.</w:t>
      </w:r>
    </w:p>
    <w:p w14:paraId="45DBD46A" w14:textId="77777777" w:rsidR="009B394A" w:rsidRDefault="009B394A" w:rsidP="00644BB7">
      <w:pPr>
        <w:pStyle w:val="ListParagraph"/>
        <w:numPr>
          <w:ilvl w:val="0"/>
          <w:numId w:val="8"/>
        </w:numPr>
        <w:spacing w:before="60" w:after="120"/>
        <w:ind w:right="-2"/>
        <w:contextualSpacing w:val="0"/>
      </w:pPr>
      <w:r>
        <w:t xml:space="preserve">Clarification of the section for </w:t>
      </w:r>
      <w:r>
        <w:rPr>
          <w:b/>
        </w:rPr>
        <w:t xml:space="preserve">Consideration of Assessment Results for Shared Programmes and Modules </w:t>
      </w:r>
      <w:r>
        <w:t>(see 6.10).  A student’s ‘Home’ Assessment Board cannot adjust module results for individual students that have previously been agreed by another Assessment Board.</w:t>
      </w:r>
    </w:p>
    <w:p w14:paraId="1D70B75C" w14:textId="77777777" w:rsidR="00676AE2" w:rsidRDefault="00676AE2" w:rsidP="00644BB7">
      <w:pPr>
        <w:pStyle w:val="ListParagraph"/>
        <w:numPr>
          <w:ilvl w:val="0"/>
          <w:numId w:val="8"/>
        </w:numPr>
        <w:spacing w:before="60" w:after="120"/>
        <w:ind w:right="-2"/>
        <w:contextualSpacing w:val="0"/>
      </w:pPr>
      <w:r>
        <w:t xml:space="preserve">The protocol for the </w:t>
      </w:r>
      <w:r>
        <w:rPr>
          <w:b/>
        </w:rPr>
        <w:t xml:space="preserve">Record and Disclosure of Assessment Results </w:t>
      </w:r>
      <w:r>
        <w:t xml:space="preserve">and </w:t>
      </w:r>
      <w:r>
        <w:rPr>
          <w:b/>
        </w:rPr>
        <w:t xml:space="preserve">Retention of Student Marks and Work </w:t>
      </w:r>
      <w:r>
        <w:t xml:space="preserve">is set out in Appendix 4. </w:t>
      </w:r>
    </w:p>
    <w:p w14:paraId="0836F787" w14:textId="77777777" w:rsidR="00E161D7" w:rsidRPr="001E6B13" w:rsidRDefault="00E161D7" w:rsidP="00862287">
      <w:pPr>
        <w:pStyle w:val="ListParagraph"/>
        <w:spacing w:before="60" w:after="120"/>
        <w:ind w:left="360" w:right="-2"/>
        <w:contextualSpacing w:val="0"/>
        <w:rPr>
          <w:rFonts w:cs="Arial"/>
          <w:szCs w:val="20"/>
        </w:rPr>
      </w:pPr>
    </w:p>
    <w:p w14:paraId="3FC2A4E0" w14:textId="77777777" w:rsidR="009B394A" w:rsidRPr="009B394A" w:rsidRDefault="009B394A" w:rsidP="009B394A">
      <w:pPr>
        <w:pStyle w:val="ListParagraph"/>
        <w:numPr>
          <w:ilvl w:val="0"/>
          <w:numId w:val="2"/>
        </w:numPr>
        <w:spacing w:before="60" w:after="120"/>
        <w:ind w:left="360" w:right="-2"/>
        <w:contextualSpacing w:val="0"/>
        <w:rPr>
          <w:rFonts w:cs="Arial"/>
          <w:b/>
          <w:szCs w:val="20"/>
        </w:rPr>
      </w:pPr>
      <w:r>
        <w:rPr>
          <w:b/>
        </w:rPr>
        <w:t>Suspension of the Assessment Regulations</w:t>
      </w:r>
    </w:p>
    <w:p w14:paraId="293BED02" w14:textId="77777777" w:rsidR="009B394A" w:rsidRPr="009B394A" w:rsidRDefault="009B394A" w:rsidP="009B394A">
      <w:pPr>
        <w:pStyle w:val="ListParagraph"/>
        <w:numPr>
          <w:ilvl w:val="0"/>
          <w:numId w:val="9"/>
        </w:numPr>
        <w:spacing w:before="60" w:after="120"/>
        <w:ind w:right="-2"/>
        <w:contextualSpacing w:val="0"/>
        <w:rPr>
          <w:rFonts w:cs="Arial"/>
          <w:szCs w:val="20"/>
        </w:rPr>
      </w:pPr>
      <w:r w:rsidRPr="009B394A">
        <w:rPr>
          <w:rFonts w:cs="Arial"/>
        </w:rPr>
        <w:t>New section added to align with the updated Ordinances approved by Council following Senate recommendation July 2015</w:t>
      </w:r>
      <w:r>
        <w:rPr>
          <w:rFonts w:cs="Arial"/>
        </w:rPr>
        <w:t xml:space="preserve"> to enable the Vice Chancellor to </w:t>
      </w:r>
      <w:r w:rsidR="008108E1">
        <w:rPr>
          <w:rFonts w:cs="Arial"/>
        </w:rPr>
        <w:t xml:space="preserve">suspend the Regulations in very exceptional circumstances (see 6.12). </w:t>
      </w:r>
      <w:r w:rsidRPr="009B394A">
        <w:rPr>
          <w:rFonts w:cs="Arial"/>
          <w:sz w:val="18"/>
          <w:szCs w:val="18"/>
          <w:u w:val="single"/>
        </w:rPr>
        <w:t>http://www.city.ac.uk/__data/assets/pdf_file/0008/282572/sc269_mins.pdf</w:t>
      </w:r>
    </w:p>
    <w:p w14:paraId="5FCFBF6A" w14:textId="77777777" w:rsidR="00D50621" w:rsidRDefault="00D50621"/>
    <w:p w14:paraId="5F79F84F" w14:textId="77777777" w:rsidR="00D50621" w:rsidRDefault="00D50621" w:rsidP="00D50621">
      <w:pPr>
        <w:rPr>
          <w:b/>
        </w:rPr>
      </w:pPr>
      <w:r>
        <w:rPr>
          <w:b/>
        </w:rPr>
        <w:t>Contact details</w:t>
      </w:r>
    </w:p>
    <w:p w14:paraId="6537D08E" w14:textId="77777777" w:rsidR="00D50621" w:rsidRDefault="00D50621" w:rsidP="00D50621">
      <w:r>
        <w:t>If you have any questions, please contact Helen Fitch (</w:t>
      </w:r>
      <w:hyperlink r:id="rId8" w:history="1">
        <w:r w:rsidRPr="00A1063E">
          <w:rPr>
            <w:rStyle w:val="Hyperlink"/>
          </w:rPr>
          <w:t>helen.fitch.1@city.ac.uk</w:t>
        </w:r>
      </w:hyperlink>
      <w:r>
        <w:t>) or Alison Edridge (</w:t>
      </w:r>
      <w:hyperlink r:id="rId9" w:history="1">
        <w:r w:rsidRPr="00A1063E">
          <w:rPr>
            <w:rStyle w:val="Hyperlink"/>
          </w:rPr>
          <w:t>Alison.edridge.1@city.ac.uk</w:t>
        </w:r>
      </w:hyperlink>
      <w:r>
        <w:t>) in Student and Academic Services.</w:t>
      </w:r>
    </w:p>
    <w:p w14:paraId="50A10E8D" w14:textId="5765B4C1" w:rsidR="00862287" w:rsidRDefault="00D50621">
      <w:r>
        <w:t>(August 2016)</w:t>
      </w:r>
    </w:p>
    <w:sectPr w:rsidR="0086228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0825F" w14:textId="77777777" w:rsidR="00275978" w:rsidRDefault="00275978" w:rsidP="00275978">
      <w:pPr>
        <w:spacing w:after="0" w:line="240" w:lineRule="auto"/>
      </w:pPr>
      <w:r>
        <w:separator/>
      </w:r>
    </w:p>
  </w:endnote>
  <w:endnote w:type="continuationSeparator" w:id="0">
    <w:p w14:paraId="4899CE55" w14:textId="77777777" w:rsidR="00275978" w:rsidRDefault="00275978" w:rsidP="00275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025333"/>
      <w:docPartObj>
        <w:docPartGallery w:val="Page Numbers (Bottom of Page)"/>
        <w:docPartUnique/>
      </w:docPartObj>
    </w:sdtPr>
    <w:sdtEndPr>
      <w:rPr>
        <w:noProof/>
      </w:rPr>
    </w:sdtEndPr>
    <w:sdtContent>
      <w:p w14:paraId="2B742B9A" w14:textId="3EB1E25D" w:rsidR="00BB5C8B" w:rsidRDefault="00BB5C8B">
        <w:pPr>
          <w:pStyle w:val="Footer"/>
          <w:jc w:val="right"/>
        </w:pPr>
        <w:r>
          <w:fldChar w:fldCharType="begin"/>
        </w:r>
        <w:r>
          <w:instrText xml:space="preserve"> PAGE   \* MERGEFORMAT </w:instrText>
        </w:r>
        <w:r>
          <w:fldChar w:fldCharType="separate"/>
        </w:r>
        <w:r w:rsidR="00571E61">
          <w:rPr>
            <w:noProof/>
          </w:rPr>
          <w:t>3</w:t>
        </w:r>
        <w:r>
          <w:rPr>
            <w:noProof/>
          </w:rPr>
          <w:fldChar w:fldCharType="end"/>
        </w:r>
      </w:p>
    </w:sdtContent>
  </w:sdt>
  <w:p w14:paraId="2AF7CE66" w14:textId="77777777" w:rsidR="00BB5C8B" w:rsidRDefault="00BB5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A12F4" w14:textId="77777777" w:rsidR="00275978" w:rsidRDefault="00275978" w:rsidP="00275978">
      <w:pPr>
        <w:spacing w:after="0" w:line="240" w:lineRule="auto"/>
      </w:pPr>
      <w:r>
        <w:separator/>
      </w:r>
    </w:p>
  </w:footnote>
  <w:footnote w:type="continuationSeparator" w:id="0">
    <w:p w14:paraId="738FCA7D" w14:textId="77777777" w:rsidR="00275978" w:rsidRDefault="00275978" w:rsidP="002759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F7623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55FC6"/>
    <w:multiLevelType w:val="hybridMultilevel"/>
    <w:tmpl w:val="D12A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21996"/>
    <w:multiLevelType w:val="hybridMultilevel"/>
    <w:tmpl w:val="7282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E5A50"/>
    <w:multiLevelType w:val="hybridMultilevel"/>
    <w:tmpl w:val="4820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575EE"/>
    <w:multiLevelType w:val="hybridMultilevel"/>
    <w:tmpl w:val="8BF262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4154CD"/>
    <w:multiLevelType w:val="hybridMultilevel"/>
    <w:tmpl w:val="2BDC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961FC8"/>
    <w:multiLevelType w:val="hybridMultilevel"/>
    <w:tmpl w:val="EF7C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B974CF"/>
    <w:multiLevelType w:val="hybridMultilevel"/>
    <w:tmpl w:val="006E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A07305"/>
    <w:multiLevelType w:val="hybridMultilevel"/>
    <w:tmpl w:val="69D2F32C"/>
    <w:lvl w:ilvl="0" w:tplc="64D0ECE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2"/>
  </w:num>
  <w:num w:numId="5">
    <w:abstractNumId w:val="0"/>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78"/>
    <w:rsid w:val="00021971"/>
    <w:rsid w:val="0003621F"/>
    <w:rsid w:val="00075211"/>
    <w:rsid w:val="000D3F1F"/>
    <w:rsid w:val="000F36A3"/>
    <w:rsid w:val="00106BBA"/>
    <w:rsid w:val="0012053E"/>
    <w:rsid w:val="001531CB"/>
    <w:rsid w:val="001852AB"/>
    <w:rsid w:val="001F1F13"/>
    <w:rsid w:val="00210113"/>
    <w:rsid w:val="00211D00"/>
    <w:rsid w:val="0021780C"/>
    <w:rsid w:val="00250152"/>
    <w:rsid w:val="002626C4"/>
    <w:rsid w:val="002627E2"/>
    <w:rsid w:val="00264E5B"/>
    <w:rsid w:val="00275978"/>
    <w:rsid w:val="002A6173"/>
    <w:rsid w:val="002B0C2D"/>
    <w:rsid w:val="002C3CA8"/>
    <w:rsid w:val="00326D4C"/>
    <w:rsid w:val="00337050"/>
    <w:rsid w:val="00376332"/>
    <w:rsid w:val="00376EAC"/>
    <w:rsid w:val="0038288A"/>
    <w:rsid w:val="003877D9"/>
    <w:rsid w:val="004177F3"/>
    <w:rsid w:val="00426E58"/>
    <w:rsid w:val="00431ECC"/>
    <w:rsid w:val="00432212"/>
    <w:rsid w:val="004462AD"/>
    <w:rsid w:val="00475161"/>
    <w:rsid w:val="004F479C"/>
    <w:rsid w:val="0054209B"/>
    <w:rsid w:val="00545795"/>
    <w:rsid w:val="00555DCC"/>
    <w:rsid w:val="00571E61"/>
    <w:rsid w:val="00617D46"/>
    <w:rsid w:val="0064331E"/>
    <w:rsid w:val="00651C80"/>
    <w:rsid w:val="00660B3A"/>
    <w:rsid w:val="00676AE2"/>
    <w:rsid w:val="0070634B"/>
    <w:rsid w:val="00766898"/>
    <w:rsid w:val="007821C0"/>
    <w:rsid w:val="007B0D40"/>
    <w:rsid w:val="007E37C0"/>
    <w:rsid w:val="007E4E60"/>
    <w:rsid w:val="007F4CC0"/>
    <w:rsid w:val="008108E1"/>
    <w:rsid w:val="00813E16"/>
    <w:rsid w:val="00830B6D"/>
    <w:rsid w:val="00862287"/>
    <w:rsid w:val="008C721B"/>
    <w:rsid w:val="008D0BD8"/>
    <w:rsid w:val="008F6D5E"/>
    <w:rsid w:val="00950600"/>
    <w:rsid w:val="009B394A"/>
    <w:rsid w:val="009B5158"/>
    <w:rsid w:val="009E38B1"/>
    <w:rsid w:val="009E5F10"/>
    <w:rsid w:val="00A0661A"/>
    <w:rsid w:val="00A12290"/>
    <w:rsid w:val="00A71AC1"/>
    <w:rsid w:val="00A810B7"/>
    <w:rsid w:val="00A820F3"/>
    <w:rsid w:val="00A976CA"/>
    <w:rsid w:val="00BB3AB0"/>
    <w:rsid w:val="00BB5C8B"/>
    <w:rsid w:val="00CF53B1"/>
    <w:rsid w:val="00D50621"/>
    <w:rsid w:val="00D669C8"/>
    <w:rsid w:val="00D87EED"/>
    <w:rsid w:val="00DD2CD8"/>
    <w:rsid w:val="00DF02D4"/>
    <w:rsid w:val="00E04931"/>
    <w:rsid w:val="00E161D7"/>
    <w:rsid w:val="00F02784"/>
    <w:rsid w:val="00F14CE2"/>
    <w:rsid w:val="00F22642"/>
    <w:rsid w:val="00F63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D8CC"/>
  <w15:chartTrackingRefBased/>
  <w15:docId w15:val="{E70B4C39-F51A-4DD1-BCAC-21034770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978"/>
    <w:pPr>
      <w:spacing w:after="0" w:line="240" w:lineRule="auto"/>
      <w:ind w:left="720"/>
      <w:contextualSpacing/>
    </w:pPr>
    <w:rPr>
      <w:szCs w:val="16"/>
    </w:rPr>
  </w:style>
  <w:style w:type="paragraph" w:styleId="ListBullet">
    <w:name w:val="List Bullet"/>
    <w:basedOn w:val="Normal"/>
    <w:uiPriority w:val="99"/>
    <w:unhideWhenUsed/>
    <w:rsid w:val="00376EAC"/>
    <w:pPr>
      <w:numPr>
        <w:numId w:val="5"/>
      </w:numPr>
      <w:contextualSpacing/>
    </w:pPr>
  </w:style>
  <w:style w:type="paragraph" w:styleId="BalloonText">
    <w:name w:val="Balloon Text"/>
    <w:basedOn w:val="Normal"/>
    <w:link w:val="BalloonTextChar"/>
    <w:uiPriority w:val="99"/>
    <w:semiHidden/>
    <w:unhideWhenUsed/>
    <w:rsid w:val="00643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31E"/>
    <w:rPr>
      <w:rFonts w:ascii="Segoe UI" w:hAnsi="Segoe UI" w:cs="Segoe UI"/>
      <w:sz w:val="18"/>
      <w:szCs w:val="18"/>
    </w:rPr>
  </w:style>
  <w:style w:type="character" w:styleId="CommentReference">
    <w:name w:val="annotation reference"/>
    <w:basedOn w:val="DefaultParagraphFont"/>
    <w:uiPriority w:val="99"/>
    <w:semiHidden/>
    <w:unhideWhenUsed/>
    <w:rsid w:val="00432212"/>
    <w:rPr>
      <w:sz w:val="16"/>
      <w:szCs w:val="16"/>
    </w:rPr>
  </w:style>
  <w:style w:type="paragraph" w:styleId="CommentText">
    <w:name w:val="annotation text"/>
    <w:basedOn w:val="Normal"/>
    <w:link w:val="CommentTextChar"/>
    <w:uiPriority w:val="99"/>
    <w:semiHidden/>
    <w:unhideWhenUsed/>
    <w:rsid w:val="00432212"/>
    <w:pPr>
      <w:spacing w:line="240" w:lineRule="auto"/>
    </w:pPr>
    <w:rPr>
      <w:szCs w:val="20"/>
    </w:rPr>
  </w:style>
  <w:style w:type="character" w:customStyle="1" w:styleId="CommentTextChar">
    <w:name w:val="Comment Text Char"/>
    <w:basedOn w:val="DefaultParagraphFont"/>
    <w:link w:val="CommentText"/>
    <w:uiPriority w:val="99"/>
    <w:semiHidden/>
    <w:rsid w:val="00432212"/>
    <w:rPr>
      <w:szCs w:val="20"/>
    </w:rPr>
  </w:style>
  <w:style w:type="paragraph" w:styleId="CommentSubject">
    <w:name w:val="annotation subject"/>
    <w:basedOn w:val="CommentText"/>
    <w:next w:val="CommentText"/>
    <w:link w:val="CommentSubjectChar"/>
    <w:uiPriority w:val="99"/>
    <w:semiHidden/>
    <w:unhideWhenUsed/>
    <w:rsid w:val="00432212"/>
    <w:rPr>
      <w:b/>
      <w:bCs/>
    </w:rPr>
  </w:style>
  <w:style w:type="character" w:customStyle="1" w:styleId="CommentSubjectChar">
    <w:name w:val="Comment Subject Char"/>
    <w:basedOn w:val="CommentTextChar"/>
    <w:link w:val="CommentSubject"/>
    <w:uiPriority w:val="99"/>
    <w:semiHidden/>
    <w:rsid w:val="00432212"/>
    <w:rPr>
      <w:b/>
      <w:bCs/>
      <w:szCs w:val="20"/>
    </w:rPr>
  </w:style>
  <w:style w:type="character" w:styleId="Hyperlink">
    <w:name w:val="Hyperlink"/>
    <w:basedOn w:val="DefaultParagraphFont"/>
    <w:uiPriority w:val="99"/>
    <w:unhideWhenUsed/>
    <w:rsid w:val="00D50621"/>
    <w:rPr>
      <w:color w:val="0563C1" w:themeColor="hyperlink"/>
      <w:u w:val="single"/>
    </w:rPr>
  </w:style>
  <w:style w:type="paragraph" w:styleId="Header">
    <w:name w:val="header"/>
    <w:basedOn w:val="Normal"/>
    <w:link w:val="HeaderChar"/>
    <w:uiPriority w:val="99"/>
    <w:unhideWhenUsed/>
    <w:rsid w:val="00BB5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C8B"/>
  </w:style>
  <w:style w:type="paragraph" w:styleId="Footer">
    <w:name w:val="footer"/>
    <w:basedOn w:val="Normal"/>
    <w:link w:val="FooterChar"/>
    <w:uiPriority w:val="99"/>
    <w:unhideWhenUsed/>
    <w:rsid w:val="00BB5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fitch.1@city.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ison.edridge.1@cit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Fitch, Helen</dc:creator>
  <cp:keywords/>
  <dc:description/>
  <cp:lastModifiedBy>Fitch, Helen</cp:lastModifiedBy>
  <cp:revision>15</cp:revision>
  <cp:lastPrinted>2016-09-01T14:29:00Z</cp:lastPrinted>
  <dcterms:created xsi:type="dcterms:W3CDTF">2016-08-25T08:15:00Z</dcterms:created>
  <dcterms:modified xsi:type="dcterms:W3CDTF">2016-09-01T14:31:00Z</dcterms:modified>
</cp:coreProperties>
</file>