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D9337" w14:textId="23CE98F7" w:rsidR="008A1A49" w:rsidRDefault="003D031D" w:rsidP="008A1A49">
      <w:pPr>
        <w:pStyle w:val="ListParagraph"/>
        <w:spacing w:after="0"/>
        <w:ind w:left="567" w:hanging="578"/>
        <w:rPr>
          <w:rFonts w:ascii="Arial" w:eastAsia="Arial" w:hAnsi="Arial" w:cs="Arial"/>
          <w:b/>
          <w:bCs/>
          <w:sz w:val="20"/>
          <w:szCs w:val="20"/>
        </w:rPr>
      </w:pPr>
      <w:r w:rsidRPr="003D031D">
        <w:rPr>
          <w:rFonts w:ascii="Arial" w:eastAsia="Arial" w:hAnsi="Arial" w:cs="Arial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CEFF9E" wp14:editId="5B03A445">
                <wp:simplePos x="0" y="0"/>
                <wp:positionH relativeFrom="column">
                  <wp:posOffset>-55880</wp:posOffset>
                </wp:positionH>
                <wp:positionV relativeFrom="paragraph">
                  <wp:posOffset>0</wp:posOffset>
                </wp:positionV>
                <wp:extent cx="1534160" cy="170434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70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8864F" w14:textId="7802D774" w:rsidR="003D031D" w:rsidRDefault="003D031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107FE5" wp14:editId="34072652">
                                  <wp:extent cx="1320800" cy="1656715"/>
                                  <wp:effectExtent l="0" t="0" r="0" b="0"/>
                                  <wp:docPr id="25" name="Picture 2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Picture 25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0" cy="1656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EFF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4pt;margin-top:0;width:120.8pt;height:13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" stroked="f">
                <v:textbox>
                  <w:txbxContent>
                    <w:p w14:paraId="2A98864F" w14:textId="7802D774" w:rsidR="003D031D" w:rsidRDefault="003D031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107FE5" wp14:editId="34072652">
                            <wp:extent cx="1320800" cy="1656715"/>
                            <wp:effectExtent l="0" t="0" r="0" b="0"/>
                            <wp:docPr id="25" name="Picture 2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Picture 25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0" cy="1656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17ADA6" w14:textId="77777777" w:rsidR="008A1A49" w:rsidRDefault="008A1A49" w:rsidP="008A1A49">
      <w:pPr>
        <w:pStyle w:val="ListParagraph"/>
        <w:spacing w:after="0"/>
        <w:ind w:left="567" w:hanging="578"/>
        <w:rPr>
          <w:rFonts w:ascii="Arial" w:eastAsia="Arial" w:hAnsi="Arial" w:cs="Arial"/>
          <w:b/>
          <w:bCs/>
          <w:sz w:val="20"/>
          <w:szCs w:val="20"/>
        </w:rPr>
      </w:pPr>
    </w:p>
    <w:p w14:paraId="5FC8424A" w14:textId="77777777" w:rsidR="003D031D" w:rsidRDefault="003D031D" w:rsidP="008A1A49">
      <w:pPr>
        <w:pStyle w:val="ListParagraph"/>
        <w:spacing w:after="0"/>
        <w:ind w:left="567" w:hanging="578"/>
        <w:rPr>
          <w:rFonts w:ascii="Arial" w:eastAsia="Arial" w:hAnsi="Arial" w:cs="Arial"/>
          <w:b/>
          <w:bCs/>
          <w:sz w:val="20"/>
          <w:szCs w:val="20"/>
        </w:rPr>
      </w:pPr>
    </w:p>
    <w:p w14:paraId="20A3EA33" w14:textId="77777777" w:rsidR="003D031D" w:rsidRDefault="003D031D" w:rsidP="008A1A49">
      <w:pPr>
        <w:pStyle w:val="ListParagraph"/>
        <w:spacing w:after="0"/>
        <w:ind w:left="567" w:hanging="578"/>
        <w:rPr>
          <w:rFonts w:ascii="Arial" w:eastAsia="Arial" w:hAnsi="Arial" w:cs="Arial"/>
          <w:b/>
          <w:bCs/>
          <w:sz w:val="20"/>
          <w:szCs w:val="20"/>
        </w:rPr>
      </w:pPr>
    </w:p>
    <w:p w14:paraId="4B5C6DC9" w14:textId="77777777" w:rsidR="003D031D" w:rsidRDefault="003D031D" w:rsidP="008A1A49">
      <w:pPr>
        <w:pStyle w:val="ListParagraph"/>
        <w:spacing w:after="0"/>
        <w:ind w:left="567" w:hanging="578"/>
        <w:rPr>
          <w:rFonts w:ascii="Arial" w:eastAsia="Arial" w:hAnsi="Arial" w:cs="Arial"/>
          <w:b/>
          <w:bCs/>
          <w:sz w:val="20"/>
          <w:szCs w:val="20"/>
        </w:rPr>
      </w:pPr>
    </w:p>
    <w:p w14:paraId="33EC87E5" w14:textId="77777777" w:rsidR="003D031D" w:rsidRDefault="003D031D" w:rsidP="008A1A49">
      <w:pPr>
        <w:pStyle w:val="ListParagraph"/>
        <w:spacing w:after="0"/>
        <w:ind w:left="567" w:hanging="578"/>
        <w:rPr>
          <w:rFonts w:ascii="Arial" w:eastAsia="Arial" w:hAnsi="Arial" w:cs="Arial"/>
          <w:b/>
          <w:bCs/>
          <w:sz w:val="20"/>
          <w:szCs w:val="20"/>
        </w:rPr>
      </w:pPr>
    </w:p>
    <w:p w14:paraId="142627CC" w14:textId="77777777" w:rsidR="003D031D" w:rsidRDefault="003D031D" w:rsidP="008A1A49">
      <w:pPr>
        <w:pStyle w:val="ListParagraph"/>
        <w:spacing w:after="0"/>
        <w:ind w:left="567" w:hanging="578"/>
        <w:rPr>
          <w:rFonts w:ascii="Arial" w:eastAsia="Arial" w:hAnsi="Arial" w:cs="Arial"/>
          <w:b/>
          <w:bCs/>
          <w:sz w:val="20"/>
          <w:szCs w:val="20"/>
        </w:rPr>
      </w:pPr>
    </w:p>
    <w:p w14:paraId="16D17B27" w14:textId="77777777" w:rsidR="003D031D" w:rsidRDefault="003D031D" w:rsidP="008A1A49">
      <w:pPr>
        <w:pStyle w:val="ListParagraph"/>
        <w:spacing w:after="0"/>
        <w:ind w:left="567" w:hanging="578"/>
        <w:rPr>
          <w:rFonts w:ascii="Arial" w:eastAsia="Arial" w:hAnsi="Arial" w:cs="Arial"/>
          <w:b/>
          <w:bCs/>
          <w:sz w:val="20"/>
          <w:szCs w:val="20"/>
        </w:rPr>
      </w:pPr>
    </w:p>
    <w:p w14:paraId="7D6E49ED" w14:textId="77777777" w:rsidR="003D031D" w:rsidRDefault="003D031D" w:rsidP="008A1A49">
      <w:pPr>
        <w:pStyle w:val="ListParagraph"/>
        <w:spacing w:after="0"/>
        <w:ind w:left="567" w:hanging="578"/>
        <w:rPr>
          <w:rFonts w:ascii="Arial" w:eastAsia="Arial" w:hAnsi="Arial" w:cs="Arial"/>
          <w:b/>
          <w:bCs/>
          <w:sz w:val="20"/>
          <w:szCs w:val="20"/>
        </w:rPr>
      </w:pPr>
    </w:p>
    <w:p w14:paraId="59B841BC" w14:textId="77777777" w:rsidR="003D031D" w:rsidRDefault="003D031D" w:rsidP="008A1A49">
      <w:pPr>
        <w:pStyle w:val="ListParagraph"/>
        <w:spacing w:after="0"/>
        <w:ind w:left="567" w:hanging="578"/>
        <w:rPr>
          <w:rFonts w:ascii="Arial" w:eastAsia="Arial" w:hAnsi="Arial" w:cs="Arial"/>
          <w:b/>
          <w:bCs/>
          <w:sz w:val="20"/>
          <w:szCs w:val="20"/>
        </w:rPr>
      </w:pPr>
    </w:p>
    <w:p w14:paraId="0CBEA2B1" w14:textId="77777777" w:rsidR="003D031D" w:rsidRDefault="003D031D" w:rsidP="008A1A49">
      <w:pPr>
        <w:pStyle w:val="ListParagraph"/>
        <w:spacing w:after="0"/>
        <w:ind w:left="567" w:hanging="578"/>
        <w:rPr>
          <w:rFonts w:ascii="Arial" w:eastAsia="Arial" w:hAnsi="Arial" w:cs="Arial"/>
          <w:b/>
          <w:bCs/>
          <w:sz w:val="20"/>
          <w:szCs w:val="20"/>
        </w:rPr>
      </w:pPr>
    </w:p>
    <w:p w14:paraId="3082AF39" w14:textId="77777777" w:rsidR="00776A8C" w:rsidRDefault="00776A8C" w:rsidP="008A1A49">
      <w:pPr>
        <w:pStyle w:val="ListParagraph"/>
        <w:spacing w:after="0"/>
        <w:ind w:left="567" w:hanging="578"/>
        <w:rPr>
          <w:rFonts w:ascii="Arial" w:eastAsia="Arial" w:hAnsi="Arial" w:cs="Arial"/>
          <w:b/>
          <w:bCs/>
          <w:sz w:val="20"/>
          <w:szCs w:val="20"/>
        </w:rPr>
      </w:pPr>
      <w:r w:rsidRPr="008A1A49">
        <w:rPr>
          <w:rFonts w:ascii="Arial" w:eastAsia="Arial" w:hAnsi="Arial" w:cs="Arial"/>
          <w:b/>
          <w:bCs/>
          <w:sz w:val="20"/>
          <w:szCs w:val="20"/>
        </w:rPr>
        <w:t>FITNESS TO STUDY</w:t>
      </w:r>
      <w:r w:rsidRPr="00DE02DF">
        <w:rPr>
          <w:rFonts w:ascii="Arial" w:eastAsia="Arial" w:hAnsi="Arial" w:cs="Arial"/>
          <w:b/>
          <w:bCs/>
          <w:sz w:val="20"/>
          <w:szCs w:val="20"/>
        </w:rPr>
        <w:t xml:space="preserve"> POLICY</w:t>
      </w:r>
    </w:p>
    <w:p w14:paraId="03B739A4" w14:textId="77777777" w:rsidR="008A1A49" w:rsidRDefault="008A1A49" w:rsidP="008A1A49">
      <w:pPr>
        <w:pStyle w:val="ListParagraph"/>
        <w:spacing w:after="0"/>
        <w:ind w:left="567" w:hanging="578"/>
        <w:rPr>
          <w:rFonts w:ascii="Arial" w:eastAsia="Arial" w:hAnsi="Arial" w:cs="Arial"/>
          <w:b/>
          <w:bCs/>
          <w:sz w:val="20"/>
          <w:szCs w:val="20"/>
        </w:rPr>
      </w:pPr>
    </w:p>
    <w:p w14:paraId="67FAB311" w14:textId="64D6FDA8" w:rsidR="008A1A49" w:rsidRDefault="008A1A49" w:rsidP="00776A8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67" w:hanging="578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Scope </w:t>
      </w:r>
    </w:p>
    <w:p w14:paraId="26CE10D7" w14:textId="77777777" w:rsidR="008A1A49" w:rsidRPr="008A1A49" w:rsidRDefault="008A1A49" w:rsidP="00776A8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67" w:hanging="578"/>
        <w:rPr>
          <w:rFonts w:ascii="Arial" w:eastAsia="Arial" w:hAnsi="Arial" w:cs="Arial"/>
          <w:bCs/>
          <w:sz w:val="20"/>
          <w:szCs w:val="20"/>
        </w:rPr>
      </w:pPr>
    </w:p>
    <w:p w14:paraId="4A68D6C8" w14:textId="4F8FFC2C" w:rsidR="008A1A49" w:rsidRDefault="008A1A49" w:rsidP="00776A8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67" w:hanging="578"/>
        <w:rPr>
          <w:rFonts w:ascii="Arial" w:eastAsia="Arial" w:hAnsi="Arial" w:cs="Arial"/>
          <w:b/>
          <w:bCs/>
          <w:sz w:val="20"/>
          <w:szCs w:val="20"/>
        </w:rPr>
      </w:pPr>
      <w:r w:rsidRPr="008A1A49">
        <w:rPr>
          <w:rFonts w:ascii="Arial" w:eastAsia="Arial" w:hAnsi="Arial" w:cs="Arial"/>
          <w:bCs/>
          <w:sz w:val="20"/>
          <w:szCs w:val="20"/>
        </w:rPr>
        <w:t>All internal taught and research programmes leading to an award of City, University of London.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330485DB" w14:textId="77777777" w:rsidR="008A1A49" w:rsidRDefault="008A1A49" w:rsidP="00776A8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67" w:hanging="578"/>
        <w:rPr>
          <w:rFonts w:ascii="Arial" w:eastAsia="Arial" w:hAnsi="Arial" w:cs="Arial"/>
          <w:b/>
          <w:bCs/>
          <w:sz w:val="20"/>
          <w:szCs w:val="20"/>
        </w:rPr>
      </w:pPr>
    </w:p>
    <w:p w14:paraId="61CA071D" w14:textId="7497BD0D" w:rsidR="008A1A49" w:rsidRPr="008A1A49" w:rsidRDefault="008A1A49" w:rsidP="00776A8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67" w:hanging="578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Associated Senate Regulations: </w:t>
      </w:r>
      <w:r w:rsidRPr="008A1A49">
        <w:rPr>
          <w:rFonts w:ascii="Arial" w:eastAsia="Arial" w:hAnsi="Arial" w:cs="Arial"/>
          <w:bCs/>
          <w:sz w:val="20"/>
          <w:szCs w:val="20"/>
        </w:rPr>
        <w:t xml:space="preserve">10: Fitness to Study </w:t>
      </w:r>
    </w:p>
    <w:p w14:paraId="44EDDF2E" w14:textId="77777777" w:rsidR="008A1A49" w:rsidRDefault="008A1A49" w:rsidP="00776A8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67" w:hanging="578"/>
        <w:rPr>
          <w:rFonts w:ascii="Arial" w:eastAsia="Arial" w:hAnsi="Arial" w:cs="Arial"/>
          <w:b/>
          <w:bCs/>
          <w:sz w:val="20"/>
          <w:szCs w:val="20"/>
        </w:rPr>
      </w:pPr>
    </w:p>
    <w:p w14:paraId="7C3C97A7" w14:textId="6783021F" w:rsidR="008A1A49" w:rsidRDefault="008A1A49" w:rsidP="00776A8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67" w:hanging="578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Approved/re-approved: </w:t>
      </w:r>
      <w:r w:rsidRPr="008A1A49">
        <w:rPr>
          <w:rFonts w:ascii="Arial" w:eastAsia="Arial" w:hAnsi="Arial" w:cs="Arial"/>
          <w:bCs/>
          <w:sz w:val="20"/>
          <w:szCs w:val="20"/>
        </w:rPr>
        <w:t>April 2016</w:t>
      </w:r>
    </w:p>
    <w:p w14:paraId="27F559EC" w14:textId="77777777" w:rsidR="008A1A49" w:rsidRDefault="008A1A49" w:rsidP="00776A8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67" w:hanging="578"/>
        <w:rPr>
          <w:rFonts w:ascii="Arial" w:eastAsia="Arial" w:hAnsi="Arial" w:cs="Arial"/>
          <w:b/>
          <w:bCs/>
          <w:sz w:val="20"/>
          <w:szCs w:val="20"/>
        </w:rPr>
      </w:pPr>
    </w:p>
    <w:p w14:paraId="0A87737A" w14:textId="37FECF87" w:rsidR="008A1A49" w:rsidRPr="008A1A49" w:rsidRDefault="008A1A49" w:rsidP="008A1A4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560" w:hanging="1571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Date for review: </w:t>
      </w:r>
      <w:r w:rsidRPr="008A1A49">
        <w:rPr>
          <w:rFonts w:ascii="Arial" w:eastAsia="Arial" w:hAnsi="Arial" w:cs="Arial"/>
          <w:bCs/>
          <w:sz w:val="20"/>
          <w:szCs w:val="20"/>
        </w:rPr>
        <w:t xml:space="preserve">To be reviewed on a periodic basis, with allowance for minor annual updates by Education &amp; Student Committee, as required. </w:t>
      </w:r>
    </w:p>
    <w:p w14:paraId="17B488D1" w14:textId="77777777" w:rsidR="008A1A49" w:rsidRPr="008A1A49" w:rsidRDefault="008A1A49" w:rsidP="00776A8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67" w:hanging="578"/>
        <w:rPr>
          <w:rFonts w:ascii="Arial" w:hAnsi="Arial" w:cs="Arial"/>
          <w:sz w:val="20"/>
          <w:szCs w:val="20"/>
        </w:rPr>
      </w:pPr>
    </w:p>
    <w:p w14:paraId="2088F8F9" w14:textId="6293793A" w:rsidR="008A1A49" w:rsidRDefault="008A1A49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5B71F31" w14:textId="77777777" w:rsidR="003D031D" w:rsidRDefault="003D031D" w:rsidP="003D031D">
      <w:pPr>
        <w:pStyle w:val="ListParagraph"/>
        <w:spacing w:after="0"/>
        <w:ind w:left="567" w:hanging="578"/>
        <w:rPr>
          <w:rFonts w:ascii="Arial" w:eastAsia="Arial" w:hAnsi="Arial" w:cs="Arial"/>
          <w:b/>
          <w:bCs/>
          <w:sz w:val="20"/>
          <w:szCs w:val="20"/>
        </w:rPr>
      </w:pPr>
      <w:r w:rsidRPr="008A1A49">
        <w:rPr>
          <w:rFonts w:ascii="Arial" w:eastAsia="Arial" w:hAnsi="Arial" w:cs="Arial"/>
          <w:b/>
          <w:bCs/>
          <w:sz w:val="20"/>
          <w:szCs w:val="20"/>
        </w:rPr>
        <w:lastRenderedPageBreak/>
        <w:t>FITNESS TO STUDY</w:t>
      </w:r>
      <w:r w:rsidRPr="00DE02DF">
        <w:rPr>
          <w:rFonts w:ascii="Arial" w:eastAsia="Arial" w:hAnsi="Arial" w:cs="Arial"/>
          <w:b/>
          <w:bCs/>
          <w:sz w:val="20"/>
          <w:szCs w:val="20"/>
        </w:rPr>
        <w:t xml:space="preserve"> POLICY</w:t>
      </w:r>
    </w:p>
    <w:p w14:paraId="100BF4B3" w14:textId="77777777" w:rsidR="003D031D" w:rsidRDefault="003D031D" w:rsidP="00776A8C">
      <w:pPr>
        <w:pStyle w:val="ListParagraph"/>
        <w:spacing w:after="0"/>
        <w:ind w:left="567" w:hanging="578"/>
        <w:rPr>
          <w:rFonts w:ascii="Arial" w:eastAsia="Arial" w:hAnsi="Arial" w:cs="Arial"/>
          <w:b/>
          <w:bCs/>
          <w:sz w:val="20"/>
          <w:szCs w:val="20"/>
        </w:rPr>
      </w:pPr>
    </w:p>
    <w:p w14:paraId="41C42513" w14:textId="77777777" w:rsidR="00776A8C" w:rsidRPr="00DE02DF" w:rsidRDefault="00776A8C" w:rsidP="00776A8C">
      <w:pPr>
        <w:pStyle w:val="ListParagraph"/>
        <w:spacing w:after="0"/>
        <w:ind w:left="567" w:hanging="578"/>
        <w:rPr>
          <w:rFonts w:ascii="Arial" w:eastAsia="Arial" w:hAnsi="Arial" w:cs="Arial"/>
          <w:b/>
          <w:bCs/>
          <w:sz w:val="20"/>
          <w:szCs w:val="20"/>
        </w:rPr>
      </w:pPr>
      <w:r w:rsidRPr="00DE02DF">
        <w:rPr>
          <w:rFonts w:ascii="Arial" w:eastAsia="Arial" w:hAnsi="Arial" w:cs="Arial"/>
          <w:b/>
          <w:bCs/>
          <w:sz w:val="20"/>
          <w:szCs w:val="20"/>
        </w:rPr>
        <w:t>Context</w:t>
      </w:r>
    </w:p>
    <w:p w14:paraId="1CCF21B9" w14:textId="77777777" w:rsidR="00776A8C" w:rsidRPr="00DE02DF" w:rsidRDefault="00776A8C" w:rsidP="00776A8C">
      <w:pPr>
        <w:pStyle w:val="ListParagraph"/>
        <w:spacing w:after="0"/>
        <w:ind w:left="567" w:hanging="578"/>
        <w:rPr>
          <w:rFonts w:ascii="Arial" w:hAnsi="Arial" w:cs="Arial"/>
          <w:sz w:val="20"/>
          <w:szCs w:val="20"/>
        </w:rPr>
      </w:pPr>
    </w:p>
    <w:p w14:paraId="514D6530" w14:textId="77777777" w:rsidR="00776A8C" w:rsidRPr="00DE02DF" w:rsidRDefault="00776A8C" w:rsidP="00776A8C">
      <w:pPr>
        <w:pStyle w:val="ListParagraph"/>
        <w:numPr>
          <w:ilvl w:val="0"/>
          <w:numId w:val="1"/>
        </w:numPr>
        <w:spacing w:after="0"/>
        <w:ind w:left="567" w:hanging="578"/>
        <w:rPr>
          <w:rFonts w:ascii="Arial" w:eastAsia="Arial" w:hAnsi="Arial" w:cs="Arial"/>
          <w:sz w:val="20"/>
          <w:szCs w:val="20"/>
        </w:rPr>
      </w:pPr>
      <w:r w:rsidRPr="00DE02DF">
        <w:rPr>
          <w:rFonts w:ascii="Arial" w:eastAsia="Arial" w:hAnsi="Arial" w:cs="Arial"/>
          <w:sz w:val="20"/>
          <w:szCs w:val="20"/>
        </w:rPr>
        <w:t xml:space="preserve">This document outlines the general principles </w:t>
      </w:r>
      <w:r w:rsidRPr="0064203D">
        <w:rPr>
          <w:rFonts w:ascii="Arial" w:eastAsia="Arial" w:hAnsi="Arial" w:cs="Arial"/>
          <w:sz w:val="20"/>
          <w:szCs w:val="20"/>
        </w:rPr>
        <w:t>and</w:t>
      </w:r>
      <w:r w:rsidRPr="00DE02DF">
        <w:rPr>
          <w:rFonts w:ascii="Arial" w:eastAsia="Arial" w:hAnsi="Arial" w:cs="Arial"/>
          <w:sz w:val="20"/>
          <w:szCs w:val="20"/>
        </w:rPr>
        <w:t xml:space="preserve"> the purpose of this Policy and Regulation </w:t>
      </w:r>
      <w:r w:rsidRPr="0064203D"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DE02DF">
        <w:rPr>
          <w:rFonts w:ascii="Arial" w:eastAsia="Arial" w:hAnsi="Arial" w:cs="Arial"/>
          <w:sz w:val="20"/>
          <w:szCs w:val="20"/>
        </w:rPr>
        <w:t>the context in which the Regulation will be implemented, and should be read in conjunction with the:</w:t>
      </w:r>
    </w:p>
    <w:p w14:paraId="212FB802" w14:textId="77777777" w:rsidR="00776A8C" w:rsidRPr="00DE02DF" w:rsidRDefault="00776A8C" w:rsidP="00776A8C">
      <w:pPr>
        <w:pStyle w:val="ListParagraph"/>
        <w:numPr>
          <w:ilvl w:val="0"/>
          <w:numId w:val="3"/>
        </w:numPr>
        <w:spacing w:after="0"/>
        <w:ind w:left="567" w:firstLine="142"/>
        <w:rPr>
          <w:rFonts w:ascii="Arial" w:eastAsia="Arial" w:hAnsi="Arial" w:cs="Arial"/>
          <w:sz w:val="20"/>
          <w:szCs w:val="20"/>
        </w:rPr>
      </w:pPr>
      <w:r w:rsidRPr="00DE02DF">
        <w:rPr>
          <w:rFonts w:ascii="Arial" w:eastAsia="Arial" w:hAnsi="Arial" w:cs="Arial"/>
          <w:sz w:val="20"/>
          <w:szCs w:val="20"/>
        </w:rPr>
        <w:t>Fitness to Study Regulation which sets out the process by which the Policy will be applied; and,</w:t>
      </w:r>
    </w:p>
    <w:p w14:paraId="3EB2E8D6" w14:textId="4D345C10" w:rsidR="00776A8C" w:rsidRPr="00DE02DF" w:rsidRDefault="00776A8C" w:rsidP="00776A8C">
      <w:pPr>
        <w:pStyle w:val="ListParagraph"/>
        <w:numPr>
          <w:ilvl w:val="0"/>
          <w:numId w:val="3"/>
        </w:numPr>
        <w:spacing w:after="0"/>
        <w:ind w:left="567" w:firstLine="142"/>
        <w:rPr>
          <w:rFonts w:ascii="Arial" w:eastAsia="Arial" w:hAnsi="Arial" w:cs="Arial"/>
          <w:sz w:val="20"/>
          <w:szCs w:val="20"/>
        </w:rPr>
      </w:pPr>
      <w:r w:rsidRPr="00DE02DF">
        <w:rPr>
          <w:rFonts w:ascii="Arial" w:eastAsia="Arial" w:hAnsi="Arial" w:cs="Arial"/>
          <w:sz w:val="20"/>
          <w:szCs w:val="20"/>
        </w:rPr>
        <w:t>accompanying Guidance which aims to facilitate the use of the Regulation</w:t>
      </w:r>
      <w:r w:rsidR="003D031D">
        <w:rPr>
          <w:rFonts w:ascii="Arial" w:eastAsia="Arial" w:hAnsi="Arial" w:cs="Arial"/>
          <w:sz w:val="20"/>
          <w:szCs w:val="20"/>
        </w:rPr>
        <w:t>.</w:t>
      </w:r>
    </w:p>
    <w:p w14:paraId="709B37D9" w14:textId="77777777" w:rsidR="00776A8C" w:rsidRPr="00DE02DF" w:rsidRDefault="00776A8C" w:rsidP="00776A8C">
      <w:pPr>
        <w:pStyle w:val="ListParagraph"/>
        <w:spacing w:after="0"/>
        <w:ind w:left="567" w:hanging="578"/>
        <w:rPr>
          <w:rFonts w:ascii="Arial" w:hAnsi="Arial" w:cs="Arial"/>
          <w:sz w:val="20"/>
          <w:szCs w:val="20"/>
        </w:rPr>
      </w:pPr>
    </w:p>
    <w:p w14:paraId="0DBA856F" w14:textId="6EA1C9CD" w:rsidR="00776A8C" w:rsidRPr="00DE02DF" w:rsidRDefault="003D031D" w:rsidP="00776A8C">
      <w:pPr>
        <w:pStyle w:val="ListParagraph"/>
        <w:numPr>
          <w:ilvl w:val="0"/>
          <w:numId w:val="1"/>
        </w:numPr>
        <w:spacing w:after="0"/>
        <w:ind w:left="567" w:hanging="5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City, University of London</w:t>
      </w:r>
      <w:r w:rsidR="00776A8C" w:rsidRPr="0064203D">
        <w:rPr>
          <w:rFonts w:ascii="Arial" w:eastAsia="Arial" w:hAnsi="Arial" w:cs="Arial"/>
          <w:sz w:val="20"/>
          <w:szCs w:val="20"/>
        </w:rPr>
        <w:t xml:space="preserve"> is committed to protecting the health, safety and well-being of all students and stakeholders.  </w:t>
      </w:r>
      <w:r>
        <w:rPr>
          <w:rFonts w:ascii="Arial" w:eastAsia="Arial" w:hAnsi="Arial" w:cs="Arial"/>
          <w:sz w:val="20"/>
          <w:szCs w:val="20"/>
        </w:rPr>
        <w:t xml:space="preserve">City </w:t>
      </w:r>
      <w:r w:rsidR="00776A8C" w:rsidRPr="0064203D">
        <w:rPr>
          <w:rFonts w:ascii="Arial" w:eastAsia="Arial" w:hAnsi="Arial" w:cs="Arial"/>
          <w:sz w:val="20"/>
          <w:szCs w:val="20"/>
        </w:rPr>
        <w:t>is an educational institution that aims to provide a supportive</w:t>
      </w:r>
      <w:r w:rsidR="00776A8C" w:rsidRPr="00DE02DF">
        <w:rPr>
          <w:rFonts w:ascii="Arial" w:eastAsia="Arial" w:hAnsi="Arial" w:cs="Arial"/>
          <w:sz w:val="20"/>
          <w:szCs w:val="20"/>
        </w:rPr>
        <w:t xml:space="preserve"> and engaging learning environment for students, </w:t>
      </w:r>
      <w:r w:rsidR="00776A8C" w:rsidRPr="00DE02DF">
        <w:rPr>
          <w:rFonts w:ascii="Arial" w:hAnsi="Arial" w:cs="Arial"/>
          <w:sz w:val="20"/>
          <w:szCs w:val="20"/>
        </w:rPr>
        <w:t>conducive to education, research and a positive student experience.</w:t>
      </w:r>
    </w:p>
    <w:p w14:paraId="479DA1B4" w14:textId="77777777" w:rsidR="00776A8C" w:rsidRPr="00DE02DF" w:rsidRDefault="00776A8C" w:rsidP="00776A8C">
      <w:pPr>
        <w:spacing w:after="0"/>
        <w:ind w:left="567" w:hanging="578"/>
        <w:rPr>
          <w:rFonts w:ascii="Arial" w:hAnsi="Arial" w:cs="Arial"/>
          <w:sz w:val="20"/>
          <w:szCs w:val="20"/>
        </w:rPr>
      </w:pPr>
    </w:p>
    <w:p w14:paraId="055160F1" w14:textId="40F97526" w:rsidR="00776A8C" w:rsidRPr="00DE02DF" w:rsidRDefault="00776A8C" w:rsidP="00776A8C">
      <w:pPr>
        <w:pStyle w:val="ListParagraph"/>
        <w:numPr>
          <w:ilvl w:val="0"/>
          <w:numId w:val="1"/>
        </w:numPr>
        <w:spacing w:after="0"/>
        <w:ind w:left="567" w:hanging="578"/>
        <w:rPr>
          <w:rFonts w:ascii="Arial" w:hAnsi="Arial" w:cs="Arial"/>
          <w:b/>
          <w:sz w:val="20"/>
          <w:szCs w:val="20"/>
        </w:rPr>
      </w:pPr>
      <w:r w:rsidRPr="0064203D">
        <w:rPr>
          <w:rFonts w:ascii="Arial" w:eastAsia="Arial" w:hAnsi="Arial" w:cs="Arial"/>
          <w:sz w:val="20"/>
          <w:szCs w:val="20"/>
        </w:rPr>
        <w:t xml:space="preserve">In supporting these aims, </w:t>
      </w:r>
      <w:r w:rsidR="003D031D">
        <w:rPr>
          <w:rFonts w:ascii="Arial" w:eastAsia="Arial" w:hAnsi="Arial" w:cs="Arial"/>
          <w:sz w:val="20"/>
          <w:szCs w:val="20"/>
        </w:rPr>
        <w:t>City</w:t>
      </w:r>
      <w:r w:rsidRPr="0064203D">
        <w:rPr>
          <w:rFonts w:ascii="Arial" w:eastAsia="Arial" w:hAnsi="Arial" w:cs="Arial"/>
          <w:sz w:val="20"/>
          <w:szCs w:val="20"/>
        </w:rPr>
        <w:t xml:space="preserve"> recognises the need for proactive management and support of concerns about a student’s well-being and/or conduct which may be related to ill-health, disability or other reasons.  </w:t>
      </w:r>
      <w:r w:rsidR="003D031D">
        <w:rPr>
          <w:rFonts w:ascii="Arial" w:eastAsia="Arial" w:hAnsi="Arial" w:cs="Arial"/>
          <w:sz w:val="20"/>
          <w:szCs w:val="20"/>
        </w:rPr>
        <w:t xml:space="preserve">City’s </w:t>
      </w:r>
      <w:r w:rsidRPr="00DE02DF">
        <w:rPr>
          <w:rFonts w:ascii="Arial" w:eastAsia="Arial" w:hAnsi="Arial" w:cs="Arial"/>
          <w:sz w:val="20"/>
          <w:szCs w:val="20"/>
        </w:rPr>
        <w:t>Student Charter outlines rights and respo</w:t>
      </w:r>
      <w:r w:rsidR="003D031D">
        <w:rPr>
          <w:rFonts w:ascii="Arial" w:eastAsia="Arial" w:hAnsi="Arial" w:cs="Arial"/>
          <w:sz w:val="20"/>
          <w:szCs w:val="20"/>
        </w:rPr>
        <w:t xml:space="preserve">nsibilities of students and City </w:t>
      </w:r>
      <w:r w:rsidRPr="00DE02DF">
        <w:rPr>
          <w:rFonts w:ascii="Arial" w:eastAsia="Arial" w:hAnsi="Arial" w:cs="Arial"/>
          <w:sz w:val="20"/>
          <w:szCs w:val="20"/>
        </w:rPr>
        <w:t xml:space="preserve">in relation to learning support and reasonable adjustments.  Students are made aware of their entitlements and responsibilities at the outset of their studies and upon re-registration including accessing learning support and receiving reasonable adjustments.  In relation to its duties, </w:t>
      </w:r>
      <w:r w:rsidR="003D031D">
        <w:rPr>
          <w:rFonts w:ascii="Arial" w:eastAsia="Arial" w:hAnsi="Arial" w:cs="Arial"/>
          <w:sz w:val="20"/>
          <w:szCs w:val="20"/>
        </w:rPr>
        <w:t>City</w:t>
      </w:r>
      <w:r w:rsidRPr="00DE02DF">
        <w:rPr>
          <w:rFonts w:ascii="Arial" w:eastAsia="Arial" w:hAnsi="Arial" w:cs="Arial"/>
          <w:sz w:val="20"/>
          <w:szCs w:val="20"/>
        </w:rPr>
        <w:t xml:space="preserve"> looks to receive recommendations for disability related reasonable adjustments. </w:t>
      </w:r>
    </w:p>
    <w:p w14:paraId="1E00BC45" w14:textId="77777777" w:rsidR="00776A8C" w:rsidRPr="00DE02DF" w:rsidRDefault="00776A8C" w:rsidP="00776A8C">
      <w:pPr>
        <w:pStyle w:val="ListParagraph"/>
        <w:spacing w:after="0"/>
        <w:ind w:left="567" w:hanging="578"/>
        <w:rPr>
          <w:rFonts w:ascii="Arial" w:hAnsi="Arial" w:cs="Arial"/>
          <w:b/>
          <w:sz w:val="20"/>
          <w:szCs w:val="20"/>
        </w:rPr>
      </w:pPr>
    </w:p>
    <w:p w14:paraId="1D4357D2" w14:textId="77777777" w:rsidR="00776A8C" w:rsidRPr="00DE02DF" w:rsidRDefault="00776A8C" w:rsidP="00776A8C">
      <w:pPr>
        <w:pStyle w:val="ListParagraph"/>
        <w:spacing w:after="0"/>
        <w:ind w:left="567" w:hanging="578"/>
        <w:rPr>
          <w:rFonts w:ascii="Arial" w:hAnsi="Arial" w:cs="Arial"/>
          <w:b/>
          <w:sz w:val="20"/>
          <w:szCs w:val="20"/>
        </w:rPr>
      </w:pPr>
      <w:r w:rsidRPr="0064203D">
        <w:rPr>
          <w:rFonts w:ascii="Arial" w:hAnsi="Arial" w:cs="Arial"/>
          <w:b/>
          <w:sz w:val="20"/>
          <w:szCs w:val="20"/>
        </w:rPr>
        <w:t>Use of this Policy</w:t>
      </w:r>
      <w:r w:rsidRPr="00DE02DF">
        <w:rPr>
          <w:rFonts w:ascii="Arial" w:hAnsi="Arial" w:cs="Arial"/>
          <w:b/>
          <w:sz w:val="20"/>
          <w:szCs w:val="20"/>
        </w:rPr>
        <w:t xml:space="preserve"> </w:t>
      </w:r>
    </w:p>
    <w:p w14:paraId="3B8CC1F8" w14:textId="77777777" w:rsidR="00776A8C" w:rsidRPr="00DE02DF" w:rsidDel="0032422A" w:rsidRDefault="00776A8C" w:rsidP="00776A8C">
      <w:pPr>
        <w:pStyle w:val="ListParagraph"/>
        <w:spacing w:after="0"/>
        <w:ind w:left="567" w:hanging="578"/>
        <w:rPr>
          <w:rFonts w:ascii="Arial" w:hAnsi="Arial" w:cs="Arial"/>
          <w:b/>
          <w:sz w:val="20"/>
          <w:szCs w:val="20"/>
        </w:rPr>
      </w:pPr>
    </w:p>
    <w:p w14:paraId="21FA2727" w14:textId="69B9B106" w:rsidR="00776A8C" w:rsidRPr="003D031D" w:rsidRDefault="003D031D" w:rsidP="00776A8C">
      <w:pPr>
        <w:pStyle w:val="ListParagraph"/>
        <w:numPr>
          <w:ilvl w:val="0"/>
          <w:numId w:val="1"/>
        </w:numPr>
        <w:spacing w:after="0"/>
        <w:ind w:left="567" w:hanging="5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City </w:t>
      </w:r>
      <w:r w:rsidR="00776A8C" w:rsidRPr="0064203D">
        <w:rPr>
          <w:rFonts w:ascii="Arial" w:eastAsia="Arial" w:hAnsi="Arial" w:cs="Arial"/>
          <w:sz w:val="20"/>
          <w:szCs w:val="20"/>
        </w:rPr>
        <w:t xml:space="preserve">will at all times consider the most appropriate process to be followed when managing concerns about student well-being and/or conduct.  This Policy will be referred to in the first instance, where the concern is thought to be related to a health or well-being issue; however this Policy may not be applied to student cases where an alternative Policy or Regulation is more </w:t>
      </w:r>
      <w:r w:rsidR="00776A8C">
        <w:rPr>
          <w:rFonts w:ascii="Arial" w:eastAsia="Arial" w:hAnsi="Arial" w:cs="Arial"/>
          <w:sz w:val="20"/>
          <w:szCs w:val="20"/>
        </w:rPr>
        <w:t>appropriate</w:t>
      </w:r>
      <w:r w:rsidR="00776A8C" w:rsidRPr="0064203D">
        <w:rPr>
          <w:rFonts w:ascii="Arial" w:eastAsia="Arial" w:hAnsi="Arial" w:cs="Arial"/>
          <w:sz w:val="20"/>
          <w:szCs w:val="20"/>
        </w:rPr>
        <w:t xml:space="preserve"> (for example, Fitness to Practice, Student Discipline)</w:t>
      </w:r>
      <w:r w:rsidR="00776A8C">
        <w:rPr>
          <w:rFonts w:ascii="Arial" w:eastAsia="Arial" w:hAnsi="Arial" w:cs="Arial"/>
          <w:sz w:val="20"/>
          <w:szCs w:val="20"/>
        </w:rPr>
        <w:t xml:space="preserve">, as determined by the student’s Programme Director (or nominee). </w:t>
      </w:r>
      <w:r w:rsidR="00776A8C" w:rsidRPr="003D031D">
        <w:rPr>
          <w:rFonts w:ascii="Arial" w:eastAsia="Arial" w:hAnsi="Arial" w:cs="Arial"/>
          <w:sz w:val="20"/>
          <w:szCs w:val="20"/>
        </w:rPr>
        <w:t>The Regulation will be applied with consideration to any potential exacerbation of a student’s difficulty, and where possible action will be taken to avoid exacerbation of the difficulty.</w:t>
      </w:r>
    </w:p>
    <w:p w14:paraId="14BCD7C4" w14:textId="77777777" w:rsidR="00776A8C" w:rsidRPr="00DE02DF" w:rsidRDefault="00776A8C" w:rsidP="00776A8C">
      <w:pPr>
        <w:pStyle w:val="ListParagraph"/>
        <w:spacing w:after="0"/>
        <w:ind w:left="567" w:hanging="578"/>
        <w:rPr>
          <w:rFonts w:ascii="Arial" w:eastAsia="Arial" w:hAnsi="Arial" w:cs="Arial"/>
          <w:sz w:val="20"/>
          <w:szCs w:val="20"/>
        </w:rPr>
      </w:pPr>
    </w:p>
    <w:p w14:paraId="2BAE3074" w14:textId="57117392" w:rsidR="00776A8C" w:rsidRPr="00DE02DF" w:rsidRDefault="003D031D" w:rsidP="00776A8C">
      <w:pPr>
        <w:pStyle w:val="ListParagraph"/>
        <w:numPr>
          <w:ilvl w:val="0"/>
          <w:numId w:val="1"/>
        </w:numPr>
        <w:spacing w:after="0"/>
        <w:ind w:left="567" w:hanging="5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</w:t>
      </w:r>
      <w:r w:rsidR="00776A8C" w:rsidRPr="00DE02DF">
        <w:rPr>
          <w:rFonts w:ascii="Arial" w:eastAsia="Arial" w:hAnsi="Arial" w:cs="Arial"/>
          <w:sz w:val="20"/>
          <w:szCs w:val="20"/>
        </w:rPr>
        <w:t xml:space="preserve"> Fitness to Study </w:t>
      </w:r>
      <w:r w:rsidR="00776A8C" w:rsidRPr="0064203D">
        <w:rPr>
          <w:rFonts w:ascii="Arial" w:eastAsia="Arial" w:hAnsi="Arial" w:cs="Arial"/>
          <w:sz w:val="20"/>
          <w:szCs w:val="20"/>
        </w:rPr>
        <w:t>Policy applies to all registered students throughout their studies/research whilst</w:t>
      </w:r>
      <w:r w:rsidR="00776A8C" w:rsidRPr="00DE02DF">
        <w:rPr>
          <w:rFonts w:ascii="Arial" w:eastAsia="Arial" w:hAnsi="Arial" w:cs="Arial"/>
          <w:sz w:val="20"/>
          <w:szCs w:val="20"/>
        </w:rPr>
        <w:t xml:space="preserve"> on </w:t>
      </w:r>
      <w:r>
        <w:rPr>
          <w:rFonts w:ascii="Arial" w:eastAsia="Arial" w:hAnsi="Arial" w:cs="Arial"/>
          <w:sz w:val="20"/>
          <w:szCs w:val="20"/>
        </w:rPr>
        <w:t>City</w:t>
      </w:r>
      <w:r w:rsidR="00776A8C" w:rsidRPr="00DE02DF">
        <w:rPr>
          <w:rFonts w:ascii="Arial" w:eastAsia="Arial" w:hAnsi="Arial" w:cs="Arial"/>
          <w:sz w:val="20"/>
          <w:szCs w:val="20"/>
        </w:rPr>
        <w:t xml:space="preserve"> premises and to study/research activities undertaken elsewhere, including fieldwork and placements. This Policy may not apply to students where a local Fitness to Practise Policy is already in place - whether this Policy or a local Fitness to Practice Policy is applicable is for the student’s Programme Director (or nominee) to determine.  </w:t>
      </w:r>
    </w:p>
    <w:p w14:paraId="54859919" w14:textId="77777777" w:rsidR="00776A8C" w:rsidRPr="00DE02DF" w:rsidRDefault="00776A8C" w:rsidP="00776A8C">
      <w:pPr>
        <w:pStyle w:val="ListParagraph"/>
        <w:spacing w:after="0"/>
        <w:ind w:left="567" w:hanging="578"/>
        <w:rPr>
          <w:rFonts w:ascii="Arial" w:hAnsi="Arial" w:cs="Arial"/>
          <w:sz w:val="20"/>
          <w:szCs w:val="20"/>
        </w:rPr>
      </w:pPr>
    </w:p>
    <w:p w14:paraId="244F2E73" w14:textId="7604CEEC" w:rsidR="00776A8C" w:rsidRPr="00DE02DF" w:rsidDel="0032422A" w:rsidRDefault="00776A8C" w:rsidP="00776A8C">
      <w:pPr>
        <w:pStyle w:val="ListParagraph"/>
        <w:numPr>
          <w:ilvl w:val="0"/>
          <w:numId w:val="2"/>
        </w:numPr>
        <w:spacing w:after="0"/>
        <w:ind w:left="567" w:hanging="578"/>
        <w:rPr>
          <w:rFonts w:ascii="Arial" w:hAnsi="Arial" w:cs="Arial"/>
          <w:sz w:val="20"/>
          <w:szCs w:val="20"/>
        </w:rPr>
      </w:pPr>
      <w:r w:rsidRPr="00DE02DF">
        <w:rPr>
          <w:rFonts w:ascii="Arial" w:eastAsia="Arial" w:hAnsi="Arial" w:cs="Arial"/>
          <w:sz w:val="20"/>
          <w:szCs w:val="20"/>
        </w:rPr>
        <w:t xml:space="preserve">This Policy may be used </w:t>
      </w:r>
      <w:r w:rsidRPr="00DE02DF" w:rsidDel="0032422A">
        <w:rPr>
          <w:rFonts w:ascii="Arial" w:eastAsia="Arial" w:hAnsi="Arial" w:cs="Arial"/>
          <w:sz w:val="20"/>
          <w:szCs w:val="20"/>
        </w:rPr>
        <w:t xml:space="preserve">when a concern is raised about </w:t>
      </w:r>
      <w:r w:rsidRPr="00DE02DF">
        <w:rPr>
          <w:rFonts w:ascii="Arial" w:eastAsia="Arial" w:hAnsi="Arial" w:cs="Arial"/>
          <w:sz w:val="20"/>
          <w:szCs w:val="20"/>
        </w:rPr>
        <w:t xml:space="preserve">a student’s </w:t>
      </w:r>
      <w:r w:rsidRPr="00DE02DF" w:rsidDel="0032422A">
        <w:rPr>
          <w:rFonts w:ascii="Arial" w:eastAsia="Arial" w:hAnsi="Arial" w:cs="Arial"/>
          <w:sz w:val="20"/>
          <w:szCs w:val="20"/>
        </w:rPr>
        <w:t>well-being</w:t>
      </w:r>
      <w:r w:rsidRPr="00DE02DF">
        <w:rPr>
          <w:rFonts w:ascii="Arial" w:eastAsia="Arial" w:hAnsi="Arial" w:cs="Arial"/>
          <w:sz w:val="20"/>
          <w:szCs w:val="20"/>
        </w:rPr>
        <w:t xml:space="preserve"> or the manner of their engagement with their studies or with fellow students, staff or other stakeholders</w:t>
      </w:r>
      <w:r w:rsidRPr="00DE02DF" w:rsidDel="0032422A">
        <w:rPr>
          <w:rFonts w:ascii="Arial" w:eastAsia="Arial" w:hAnsi="Arial" w:cs="Arial"/>
          <w:sz w:val="20"/>
          <w:szCs w:val="20"/>
        </w:rPr>
        <w:t xml:space="preserve">, </w:t>
      </w:r>
      <w:r w:rsidRPr="00DE02DF">
        <w:rPr>
          <w:rFonts w:ascii="Arial" w:eastAsia="Arial" w:hAnsi="Arial" w:cs="Arial"/>
          <w:sz w:val="20"/>
          <w:szCs w:val="20"/>
        </w:rPr>
        <w:t>and this</w:t>
      </w:r>
      <w:r w:rsidRPr="00DE02DF" w:rsidDel="0032422A">
        <w:rPr>
          <w:rFonts w:ascii="Arial" w:eastAsia="Arial" w:hAnsi="Arial" w:cs="Arial"/>
          <w:sz w:val="20"/>
          <w:szCs w:val="20"/>
        </w:rPr>
        <w:t xml:space="preserve"> is t</w:t>
      </w:r>
      <w:r w:rsidR="003D031D">
        <w:rPr>
          <w:rFonts w:ascii="Arial" w:eastAsia="Arial" w:hAnsi="Arial" w:cs="Arial"/>
          <w:sz w:val="20"/>
          <w:szCs w:val="20"/>
        </w:rPr>
        <w:t xml:space="preserve">hought to represent a potential </w:t>
      </w:r>
      <w:r w:rsidRPr="00DE02DF" w:rsidDel="0032422A">
        <w:rPr>
          <w:rFonts w:ascii="Arial" w:eastAsia="Arial" w:hAnsi="Arial" w:cs="Arial"/>
          <w:sz w:val="20"/>
          <w:szCs w:val="20"/>
        </w:rPr>
        <w:t>significant risk to</w:t>
      </w:r>
      <w:r w:rsidRPr="00DE02DF">
        <w:rPr>
          <w:rFonts w:ascii="Arial" w:eastAsia="Arial" w:hAnsi="Arial" w:cs="Arial"/>
          <w:sz w:val="20"/>
          <w:szCs w:val="20"/>
        </w:rPr>
        <w:t xml:space="preserve"> any or all of the following</w:t>
      </w:r>
      <w:r w:rsidRPr="00DE02DF" w:rsidDel="0032422A">
        <w:rPr>
          <w:rFonts w:ascii="Arial" w:eastAsia="Arial" w:hAnsi="Arial" w:cs="Arial"/>
          <w:sz w:val="20"/>
          <w:szCs w:val="20"/>
        </w:rPr>
        <w:t>:</w:t>
      </w:r>
    </w:p>
    <w:p w14:paraId="0CB5A781" w14:textId="77777777" w:rsidR="00776A8C" w:rsidRPr="00DE02DF" w:rsidDel="0032422A" w:rsidRDefault="00776A8C" w:rsidP="00776A8C">
      <w:pPr>
        <w:pStyle w:val="ListParagraph"/>
        <w:numPr>
          <w:ilvl w:val="0"/>
          <w:numId w:val="4"/>
        </w:numPr>
        <w:spacing w:after="0"/>
        <w:ind w:left="567" w:firstLine="142"/>
        <w:rPr>
          <w:rFonts w:ascii="Arial" w:hAnsi="Arial" w:cs="Arial"/>
          <w:sz w:val="20"/>
          <w:szCs w:val="20"/>
        </w:rPr>
      </w:pPr>
      <w:r w:rsidRPr="00DE02DF" w:rsidDel="0032422A">
        <w:rPr>
          <w:rFonts w:ascii="Arial" w:hAnsi="Arial" w:cs="Arial"/>
          <w:sz w:val="20"/>
          <w:szCs w:val="20"/>
        </w:rPr>
        <w:t>their own health and safety</w:t>
      </w:r>
      <w:r w:rsidRPr="00DE02DF">
        <w:rPr>
          <w:rFonts w:ascii="Arial" w:hAnsi="Arial" w:cs="Arial"/>
          <w:sz w:val="20"/>
          <w:szCs w:val="20"/>
        </w:rPr>
        <w:t xml:space="preserve"> or well-being;</w:t>
      </w:r>
    </w:p>
    <w:p w14:paraId="2FE7BC68" w14:textId="77777777" w:rsidR="00776A8C" w:rsidRPr="00DE02DF" w:rsidDel="0032422A" w:rsidRDefault="00776A8C" w:rsidP="00776A8C">
      <w:pPr>
        <w:pStyle w:val="ListParagraph"/>
        <w:numPr>
          <w:ilvl w:val="0"/>
          <w:numId w:val="4"/>
        </w:numPr>
        <w:spacing w:after="0"/>
        <w:ind w:left="567" w:firstLine="142"/>
        <w:rPr>
          <w:rFonts w:ascii="Arial" w:hAnsi="Arial" w:cs="Arial"/>
          <w:sz w:val="20"/>
          <w:szCs w:val="20"/>
        </w:rPr>
      </w:pPr>
      <w:r w:rsidRPr="00DE02DF" w:rsidDel="0032422A">
        <w:rPr>
          <w:rFonts w:ascii="Arial" w:hAnsi="Arial" w:cs="Arial"/>
          <w:sz w:val="20"/>
          <w:szCs w:val="20"/>
        </w:rPr>
        <w:t xml:space="preserve">the health and safety </w:t>
      </w:r>
      <w:r w:rsidRPr="00DE02DF">
        <w:rPr>
          <w:rFonts w:ascii="Arial" w:hAnsi="Arial" w:cs="Arial"/>
          <w:sz w:val="20"/>
          <w:szCs w:val="20"/>
        </w:rPr>
        <w:t xml:space="preserve">or well-being </w:t>
      </w:r>
      <w:r w:rsidRPr="00DE02DF" w:rsidDel="0032422A">
        <w:rPr>
          <w:rFonts w:ascii="Arial" w:hAnsi="Arial" w:cs="Arial"/>
          <w:sz w:val="20"/>
          <w:szCs w:val="20"/>
        </w:rPr>
        <w:t>of other students and staff</w:t>
      </w:r>
      <w:r w:rsidRPr="00DE02DF">
        <w:rPr>
          <w:rFonts w:ascii="Arial" w:hAnsi="Arial" w:cs="Arial"/>
          <w:sz w:val="20"/>
          <w:szCs w:val="20"/>
        </w:rPr>
        <w:t>;</w:t>
      </w:r>
    </w:p>
    <w:p w14:paraId="6833B2A0" w14:textId="77777777" w:rsidR="00776A8C" w:rsidRPr="00DE02DF" w:rsidRDefault="00776A8C" w:rsidP="00776A8C">
      <w:pPr>
        <w:pStyle w:val="ListParagraph"/>
        <w:numPr>
          <w:ilvl w:val="0"/>
          <w:numId w:val="4"/>
        </w:numPr>
        <w:spacing w:after="0"/>
        <w:ind w:left="567" w:firstLine="142"/>
        <w:rPr>
          <w:rFonts w:ascii="Arial" w:hAnsi="Arial" w:cs="Arial"/>
          <w:sz w:val="20"/>
          <w:szCs w:val="20"/>
        </w:rPr>
      </w:pPr>
      <w:r w:rsidRPr="00DE02DF" w:rsidDel="0032422A">
        <w:rPr>
          <w:rFonts w:ascii="Arial" w:hAnsi="Arial" w:cs="Arial"/>
          <w:sz w:val="20"/>
          <w:szCs w:val="20"/>
        </w:rPr>
        <w:t xml:space="preserve">the </w:t>
      </w:r>
      <w:r w:rsidRPr="00DE02DF">
        <w:rPr>
          <w:rFonts w:ascii="Arial" w:hAnsi="Arial" w:cs="Arial"/>
          <w:sz w:val="20"/>
          <w:szCs w:val="20"/>
        </w:rPr>
        <w:t xml:space="preserve">teaching and </w:t>
      </w:r>
      <w:r w:rsidRPr="00DE02DF" w:rsidDel="0032422A">
        <w:rPr>
          <w:rFonts w:ascii="Arial" w:hAnsi="Arial" w:cs="Arial"/>
          <w:sz w:val="20"/>
          <w:szCs w:val="20"/>
        </w:rPr>
        <w:t>learning environment</w:t>
      </w:r>
      <w:r w:rsidRPr="00DE02DF">
        <w:rPr>
          <w:rFonts w:ascii="Arial" w:hAnsi="Arial" w:cs="Arial"/>
          <w:sz w:val="20"/>
          <w:szCs w:val="20"/>
        </w:rPr>
        <w:t>;</w:t>
      </w:r>
    </w:p>
    <w:p w14:paraId="2258A3F4" w14:textId="77777777" w:rsidR="00776A8C" w:rsidRPr="00DE02DF" w:rsidRDefault="00776A8C" w:rsidP="00776A8C">
      <w:pPr>
        <w:pStyle w:val="ListParagraph"/>
        <w:numPr>
          <w:ilvl w:val="0"/>
          <w:numId w:val="4"/>
        </w:numPr>
        <w:spacing w:after="0"/>
        <w:ind w:left="567" w:firstLine="142"/>
        <w:rPr>
          <w:rFonts w:ascii="Arial" w:hAnsi="Arial" w:cs="Arial"/>
          <w:sz w:val="20"/>
          <w:szCs w:val="20"/>
        </w:rPr>
      </w:pPr>
      <w:r w:rsidRPr="00DE02DF" w:rsidDel="0032422A">
        <w:rPr>
          <w:rFonts w:ascii="Arial" w:hAnsi="Arial" w:cs="Arial"/>
          <w:sz w:val="20"/>
          <w:szCs w:val="20"/>
        </w:rPr>
        <w:t xml:space="preserve">the </w:t>
      </w:r>
      <w:r w:rsidRPr="00DE02DF">
        <w:rPr>
          <w:rFonts w:ascii="Arial" w:hAnsi="Arial" w:cs="Arial"/>
          <w:sz w:val="20"/>
          <w:szCs w:val="20"/>
        </w:rPr>
        <w:t xml:space="preserve">activities and/or </w:t>
      </w:r>
      <w:r w:rsidRPr="00DE02DF" w:rsidDel="0032422A">
        <w:rPr>
          <w:rFonts w:ascii="Arial" w:hAnsi="Arial" w:cs="Arial"/>
          <w:sz w:val="20"/>
          <w:szCs w:val="20"/>
        </w:rPr>
        <w:t>health and safety of placement providers, mentors, visitors or the general public.</w:t>
      </w:r>
    </w:p>
    <w:p w14:paraId="3D969CD6" w14:textId="77777777" w:rsidR="00776A8C" w:rsidRPr="00DE02DF" w:rsidRDefault="00776A8C" w:rsidP="00776A8C">
      <w:pPr>
        <w:spacing w:after="0"/>
        <w:ind w:left="567" w:hanging="578"/>
        <w:rPr>
          <w:rFonts w:ascii="Arial" w:hAnsi="Arial" w:cs="Arial"/>
          <w:sz w:val="20"/>
          <w:szCs w:val="20"/>
        </w:rPr>
      </w:pPr>
    </w:p>
    <w:p w14:paraId="560B855F" w14:textId="77777777" w:rsidR="00776A8C" w:rsidRPr="00DE02DF" w:rsidRDefault="00776A8C" w:rsidP="00776A8C">
      <w:pPr>
        <w:spacing w:after="0"/>
        <w:ind w:left="567"/>
        <w:rPr>
          <w:rFonts w:ascii="Arial" w:hAnsi="Arial" w:cs="Arial"/>
          <w:sz w:val="20"/>
          <w:szCs w:val="20"/>
        </w:rPr>
      </w:pPr>
      <w:r w:rsidRPr="00DE02DF">
        <w:rPr>
          <w:rFonts w:ascii="Arial" w:hAnsi="Arial" w:cs="Arial"/>
          <w:sz w:val="20"/>
          <w:szCs w:val="20"/>
        </w:rPr>
        <w:lastRenderedPageBreak/>
        <w:t xml:space="preserve">Examples of what situations may be suitable for consideration under this Policy and Regulation are outlined in the Regulation </w:t>
      </w:r>
      <w:r w:rsidRPr="0064203D">
        <w:rPr>
          <w:rFonts w:ascii="Arial" w:hAnsi="Arial" w:cs="Arial"/>
          <w:sz w:val="20"/>
          <w:szCs w:val="20"/>
        </w:rPr>
        <w:t>and the Guidance</w:t>
      </w:r>
      <w:r w:rsidRPr="00DE02DF">
        <w:rPr>
          <w:rFonts w:ascii="Arial" w:hAnsi="Arial" w:cs="Arial"/>
          <w:sz w:val="20"/>
          <w:szCs w:val="20"/>
        </w:rPr>
        <w:t xml:space="preserve">.  </w:t>
      </w:r>
    </w:p>
    <w:p w14:paraId="1308803B" w14:textId="77777777" w:rsidR="00776A8C" w:rsidRPr="00DE02DF" w:rsidRDefault="00776A8C" w:rsidP="00776A8C">
      <w:pPr>
        <w:pStyle w:val="ListParagraph"/>
        <w:spacing w:after="0"/>
        <w:ind w:left="567" w:hanging="578"/>
        <w:rPr>
          <w:rFonts w:ascii="Arial" w:hAnsi="Arial" w:cs="Arial"/>
          <w:sz w:val="20"/>
          <w:szCs w:val="20"/>
        </w:rPr>
      </w:pPr>
    </w:p>
    <w:p w14:paraId="482C0E6E" w14:textId="77777777" w:rsidR="00776A8C" w:rsidRPr="00DE02DF" w:rsidRDefault="00776A8C" w:rsidP="00776A8C">
      <w:pPr>
        <w:pStyle w:val="ListParagraph"/>
        <w:numPr>
          <w:ilvl w:val="0"/>
          <w:numId w:val="2"/>
        </w:numPr>
        <w:spacing w:after="0"/>
        <w:ind w:left="567" w:hanging="578"/>
        <w:rPr>
          <w:rFonts w:ascii="Arial" w:eastAsia="Arial" w:hAnsi="Arial" w:cs="Arial"/>
          <w:sz w:val="20"/>
          <w:szCs w:val="20"/>
        </w:rPr>
      </w:pPr>
      <w:r w:rsidRPr="00DE02DF">
        <w:rPr>
          <w:rFonts w:ascii="Arial" w:eastAsia="Arial" w:hAnsi="Arial" w:cs="Arial"/>
          <w:sz w:val="20"/>
          <w:szCs w:val="20"/>
        </w:rPr>
        <w:t xml:space="preserve">This Policy is not intended to deal with issues solely related to a student’s academic performance (which would be managed under the Assessment Regulations) or a student’s extenuating circumstances (which would be managed under the Extenuating Circumstances procedure). </w:t>
      </w:r>
    </w:p>
    <w:p w14:paraId="5D32783D" w14:textId="77777777" w:rsidR="00776A8C" w:rsidRPr="00DE02DF" w:rsidRDefault="00776A8C" w:rsidP="00776A8C">
      <w:pPr>
        <w:spacing w:after="0"/>
        <w:ind w:left="567" w:hanging="578"/>
        <w:rPr>
          <w:rFonts w:ascii="Arial" w:hAnsi="Arial" w:cs="Arial"/>
          <w:sz w:val="20"/>
          <w:szCs w:val="20"/>
        </w:rPr>
      </w:pPr>
    </w:p>
    <w:p w14:paraId="743B93AC" w14:textId="77777777" w:rsidR="00776A8C" w:rsidRPr="00DE02DF" w:rsidRDefault="00776A8C" w:rsidP="00776A8C">
      <w:pPr>
        <w:pStyle w:val="ListParagraph"/>
        <w:numPr>
          <w:ilvl w:val="0"/>
          <w:numId w:val="2"/>
        </w:numPr>
        <w:spacing w:after="0"/>
        <w:ind w:left="567" w:hanging="578"/>
        <w:rPr>
          <w:rFonts w:ascii="Arial" w:hAnsi="Arial" w:cs="Arial"/>
          <w:sz w:val="20"/>
          <w:szCs w:val="20"/>
        </w:rPr>
      </w:pPr>
      <w:r w:rsidRPr="00DE02DF">
        <w:rPr>
          <w:rFonts w:ascii="Arial" w:hAnsi="Arial" w:cs="Arial"/>
          <w:sz w:val="20"/>
          <w:szCs w:val="20"/>
        </w:rPr>
        <w:t xml:space="preserve">Responsibilities for the application of the Regulation are defined within the Regulation and Guidance.  </w:t>
      </w:r>
    </w:p>
    <w:p w14:paraId="2C9D33AF" w14:textId="77777777" w:rsidR="00776A8C" w:rsidRPr="00DE02DF" w:rsidRDefault="00776A8C" w:rsidP="00776A8C">
      <w:pPr>
        <w:spacing w:after="0"/>
        <w:ind w:left="567" w:hanging="578"/>
        <w:rPr>
          <w:rFonts w:ascii="Arial" w:hAnsi="Arial" w:cs="Arial"/>
          <w:sz w:val="20"/>
          <w:szCs w:val="20"/>
        </w:rPr>
      </w:pPr>
    </w:p>
    <w:p w14:paraId="25D48057" w14:textId="77777777" w:rsidR="00776A8C" w:rsidRPr="00DE02DF" w:rsidRDefault="00776A8C" w:rsidP="00776A8C">
      <w:pPr>
        <w:pStyle w:val="ListParagraph"/>
        <w:spacing w:after="0"/>
        <w:ind w:left="567" w:hanging="578"/>
        <w:rPr>
          <w:rFonts w:ascii="Arial" w:hAnsi="Arial" w:cs="Arial"/>
          <w:b/>
          <w:sz w:val="20"/>
          <w:szCs w:val="20"/>
        </w:rPr>
      </w:pPr>
      <w:r w:rsidRPr="00DE02DF">
        <w:rPr>
          <w:rFonts w:ascii="Arial" w:hAnsi="Arial" w:cs="Arial"/>
          <w:b/>
          <w:sz w:val="20"/>
          <w:szCs w:val="20"/>
        </w:rPr>
        <w:t xml:space="preserve">Data Protection </w:t>
      </w:r>
    </w:p>
    <w:p w14:paraId="644C532F" w14:textId="77777777" w:rsidR="00776A8C" w:rsidRPr="00DE02DF" w:rsidRDefault="00776A8C" w:rsidP="00776A8C">
      <w:pPr>
        <w:spacing w:after="0"/>
        <w:ind w:left="567" w:hanging="578"/>
        <w:rPr>
          <w:rFonts w:ascii="Arial" w:hAnsi="Arial" w:cs="Arial"/>
          <w:sz w:val="20"/>
          <w:szCs w:val="20"/>
        </w:rPr>
      </w:pPr>
    </w:p>
    <w:p w14:paraId="5F201A26" w14:textId="70433E3B" w:rsidR="00776A8C" w:rsidRPr="00DE02DF" w:rsidRDefault="00776A8C" w:rsidP="00776A8C">
      <w:pPr>
        <w:pStyle w:val="ListParagraph"/>
        <w:numPr>
          <w:ilvl w:val="0"/>
          <w:numId w:val="2"/>
        </w:numPr>
        <w:spacing w:after="0"/>
        <w:ind w:left="567" w:hanging="578"/>
        <w:rPr>
          <w:rFonts w:ascii="Arial" w:hAnsi="Arial" w:cs="Arial"/>
          <w:sz w:val="20"/>
          <w:szCs w:val="20"/>
        </w:rPr>
      </w:pPr>
      <w:r w:rsidRPr="00DE02DF">
        <w:rPr>
          <w:rFonts w:ascii="Arial" w:hAnsi="Arial" w:cs="Arial"/>
          <w:sz w:val="20"/>
          <w:szCs w:val="20"/>
        </w:rPr>
        <w:t xml:space="preserve">This Regulation will be operated in accordance with </w:t>
      </w:r>
      <w:r w:rsidR="003D031D">
        <w:rPr>
          <w:rFonts w:ascii="Arial" w:hAnsi="Arial" w:cs="Arial"/>
          <w:sz w:val="20"/>
          <w:szCs w:val="20"/>
        </w:rPr>
        <w:t>City’s</w:t>
      </w:r>
      <w:r w:rsidRPr="00DE02DF">
        <w:rPr>
          <w:rFonts w:ascii="Arial" w:hAnsi="Arial" w:cs="Arial"/>
          <w:sz w:val="20"/>
          <w:szCs w:val="20"/>
        </w:rPr>
        <w:t xml:space="preserve"> duties under the Equality Act 2010 and the Data Protection Act 1998.  Staff operating the Regulation should refer to the Regulation and accompanying Guidance for further information about student confidentiality.  </w:t>
      </w:r>
    </w:p>
    <w:p w14:paraId="6D98091B" w14:textId="77777777" w:rsidR="00776A8C" w:rsidRPr="00DE02DF" w:rsidRDefault="00776A8C" w:rsidP="00776A8C">
      <w:pPr>
        <w:pStyle w:val="ListParagraph"/>
        <w:ind w:left="567" w:hanging="578"/>
        <w:rPr>
          <w:rFonts w:ascii="Arial" w:hAnsi="Arial" w:cs="Arial"/>
          <w:sz w:val="20"/>
          <w:szCs w:val="20"/>
        </w:rPr>
      </w:pPr>
    </w:p>
    <w:p w14:paraId="7CA240D3" w14:textId="77777777" w:rsidR="00776A8C" w:rsidRPr="00DE02DF" w:rsidRDefault="00776A8C" w:rsidP="00776A8C">
      <w:pPr>
        <w:pStyle w:val="ListParagraph"/>
        <w:spacing w:after="0"/>
        <w:ind w:left="567" w:hanging="578"/>
        <w:rPr>
          <w:rFonts w:ascii="Arial" w:hAnsi="Arial" w:cs="Arial"/>
          <w:b/>
          <w:sz w:val="20"/>
          <w:szCs w:val="20"/>
        </w:rPr>
      </w:pPr>
      <w:r w:rsidRPr="00DE02DF">
        <w:rPr>
          <w:rFonts w:ascii="Arial" w:hAnsi="Arial" w:cs="Arial"/>
          <w:b/>
          <w:sz w:val="20"/>
          <w:szCs w:val="20"/>
        </w:rPr>
        <w:t xml:space="preserve">The Office of the Independent Adjudicator for Higher Education (OIA) </w:t>
      </w:r>
    </w:p>
    <w:p w14:paraId="779DCDC5" w14:textId="77777777" w:rsidR="00776A8C" w:rsidRPr="00DE02DF" w:rsidRDefault="00776A8C" w:rsidP="00776A8C">
      <w:pPr>
        <w:pStyle w:val="ListParagraph"/>
        <w:ind w:left="567" w:hanging="578"/>
        <w:rPr>
          <w:rFonts w:ascii="Arial" w:hAnsi="Arial" w:cs="Arial"/>
          <w:sz w:val="20"/>
          <w:szCs w:val="20"/>
        </w:rPr>
      </w:pPr>
    </w:p>
    <w:p w14:paraId="7BEBE6CA" w14:textId="16111C5F" w:rsidR="00776A8C" w:rsidRPr="00DE02DF" w:rsidRDefault="00125427" w:rsidP="00776A8C">
      <w:pPr>
        <w:pStyle w:val="ListParagraph"/>
        <w:numPr>
          <w:ilvl w:val="0"/>
          <w:numId w:val="2"/>
        </w:numPr>
        <w:spacing w:after="0"/>
        <w:ind w:left="567" w:hanging="5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City </w:t>
      </w:r>
      <w:r w:rsidR="00776A8C" w:rsidRPr="00DE02DF">
        <w:rPr>
          <w:rFonts w:ascii="Arial" w:hAnsi="Arial" w:cs="Arial"/>
          <w:sz w:val="20"/>
          <w:szCs w:val="20"/>
        </w:rPr>
        <w:t xml:space="preserve">subscribes to the OIA scheme, and this Policy and associated Regulation is therefore subject to its review.  </w:t>
      </w:r>
      <w:r>
        <w:rPr>
          <w:rFonts w:ascii="Arial" w:hAnsi="Arial" w:cs="Arial"/>
          <w:sz w:val="20"/>
          <w:szCs w:val="20"/>
        </w:rPr>
        <w:t xml:space="preserve">City </w:t>
      </w:r>
      <w:bookmarkStart w:id="0" w:name="_GoBack"/>
      <w:bookmarkEnd w:id="0"/>
      <w:r w:rsidR="00776A8C" w:rsidRPr="00DE02DF">
        <w:rPr>
          <w:rFonts w:ascii="Arial" w:hAnsi="Arial" w:cs="Arial"/>
          <w:sz w:val="20"/>
          <w:szCs w:val="20"/>
        </w:rPr>
        <w:t xml:space="preserve">is committed to complying with any formal decision and/or recommendation(s) issued by the OIA arising from a student complaint considered by the OIA, noting that the student complainant is not bound to comply with the OIA decision.  </w:t>
      </w:r>
    </w:p>
    <w:p w14:paraId="2401C6B3" w14:textId="77777777" w:rsidR="00776A8C" w:rsidRPr="00DE02DF" w:rsidRDefault="00776A8C" w:rsidP="00776A8C">
      <w:pPr>
        <w:spacing w:after="0"/>
        <w:ind w:left="567" w:hanging="578"/>
        <w:rPr>
          <w:rFonts w:ascii="Arial" w:hAnsi="Arial" w:cs="Arial"/>
          <w:sz w:val="20"/>
          <w:szCs w:val="20"/>
        </w:rPr>
      </w:pPr>
    </w:p>
    <w:p w14:paraId="7330897B" w14:textId="77777777" w:rsidR="00776A8C" w:rsidRPr="00DE02DF" w:rsidRDefault="00776A8C" w:rsidP="00776A8C">
      <w:pPr>
        <w:spacing w:after="0"/>
        <w:ind w:left="567" w:hanging="578"/>
        <w:rPr>
          <w:rFonts w:ascii="Arial" w:hAnsi="Arial" w:cs="Arial"/>
          <w:sz w:val="20"/>
          <w:szCs w:val="20"/>
        </w:rPr>
      </w:pPr>
    </w:p>
    <w:p w14:paraId="28172653" w14:textId="77777777" w:rsidR="00492593" w:rsidRDefault="00492593"/>
    <w:sectPr w:rsidR="0049259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65E25" w14:textId="77777777" w:rsidR="003D031D" w:rsidRDefault="003D031D" w:rsidP="003D031D">
      <w:pPr>
        <w:spacing w:after="0" w:line="240" w:lineRule="auto"/>
      </w:pPr>
      <w:r>
        <w:separator/>
      </w:r>
    </w:p>
  </w:endnote>
  <w:endnote w:type="continuationSeparator" w:id="0">
    <w:p w14:paraId="16D44F79" w14:textId="77777777" w:rsidR="003D031D" w:rsidRDefault="003D031D" w:rsidP="003D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0C990" w14:textId="77777777" w:rsidR="003D031D" w:rsidRPr="003D031D" w:rsidRDefault="003D031D">
    <w:pPr>
      <w:pStyle w:val="Footer"/>
      <w:jc w:val="center"/>
      <w:rPr>
        <w:caps/>
        <w:noProof/>
        <w:color w:val="000000" w:themeColor="text1"/>
      </w:rPr>
    </w:pPr>
    <w:r w:rsidRPr="003D031D">
      <w:rPr>
        <w:caps/>
        <w:color w:val="000000" w:themeColor="text1"/>
      </w:rPr>
      <w:fldChar w:fldCharType="begin"/>
    </w:r>
    <w:r w:rsidRPr="003D031D">
      <w:rPr>
        <w:caps/>
        <w:color w:val="000000" w:themeColor="text1"/>
      </w:rPr>
      <w:instrText xml:space="preserve"> PAGE   \* MERGEFORMAT </w:instrText>
    </w:r>
    <w:r w:rsidRPr="003D031D">
      <w:rPr>
        <w:caps/>
        <w:color w:val="000000" w:themeColor="text1"/>
      </w:rPr>
      <w:fldChar w:fldCharType="separate"/>
    </w:r>
    <w:r w:rsidR="00125427">
      <w:rPr>
        <w:caps/>
        <w:noProof/>
        <w:color w:val="000000" w:themeColor="text1"/>
      </w:rPr>
      <w:t>3</w:t>
    </w:r>
    <w:r w:rsidRPr="003D031D">
      <w:rPr>
        <w:caps/>
        <w:noProof/>
        <w:color w:val="000000" w:themeColor="text1"/>
      </w:rPr>
      <w:fldChar w:fldCharType="end"/>
    </w:r>
  </w:p>
  <w:p w14:paraId="25B4EF86" w14:textId="77777777" w:rsidR="003D031D" w:rsidRDefault="003D03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868A0" w14:textId="77777777" w:rsidR="003D031D" w:rsidRDefault="003D031D" w:rsidP="003D031D">
      <w:pPr>
        <w:spacing w:after="0" w:line="240" w:lineRule="auto"/>
      </w:pPr>
      <w:r>
        <w:separator/>
      </w:r>
    </w:p>
  </w:footnote>
  <w:footnote w:type="continuationSeparator" w:id="0">
    <w:p w14:paraId="4E900766" w14:textId="77777777" w:rsidR="003D031D" w:rsidRDefault="003D031D" w:rsidP="003D0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62D0"/>
    <w:multiLevelType w:val="hybridMultilevel"/>
    <w:tmpl w:val="A97EE242"/>
    <w:lvl w:ilvl="0" w:tplc="A97A1B7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AE7C67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0FE56FA">
      <w:start w:val="7"/>
      <w:numFmt w:val="bullet"/>
      <w:lvlText w:val="•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143B6"/>
    <w:multiLevelType w:val="hybridMultilevel"/>
    <w:tmpl w:val="31DA03AA"/>
    <w:lvl w:ilvl="0" w:tplc="32E8756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6" w:hanging="360"/>
      </w:pPr>
    </w:lvl>
    <w:lvl w:ilvl="2" w:tplc="0809001B" w:tentative="1">
      <w:start w:val="1"/>
      <w:numFmt w:val="lowerRoman"/>
      <w:lvlText w:val="%3."/>
      <w:lvlJc w:val="right"/>
      <w:pPr>
        <w:ind w:left="3246" w:hanging="180"/>
      </w:pPr>
    </w:lvl>
    <w:lvl w:ilvl="3" w:tplc="0809000F" w:tentative="1">
      <w:start w:val="1"/>
      <w:numFmt w:val="decimal"/>
      <w:lvlText w:val="%4."/>
      <w:lvlJc w:val="left"/>
      <w:pPr>
        <w:ind w:left="3966" w:hanging="360"/>
      </w:pPr>
    </w:lvl>
    <w:lvl w:ilvl="4" w:tplc="08090019" w:tentative="1">
      <w:start w:val="1"/>
      <w:numFmt w:val="lowerLetter"/>
      <w:lvlText w:val="%5."/>
      <w:lvlJc w:val="left"/>
      <w:pPr>
        <w:ind w:left="4686" w:hanging="360"/>
      </w:pPr>
    </w:lvl>
    <w:lvl w:ilvl="5" w:tplc="0809001B" w:tentative="1">
      <w:start w:val="1"/>
      <w:numFmt w:val="lowerRoman"/>
      <w:lvlText w:val="%6."/>
      <w:lvlJc w:val="right"/>
      <w:pPr>
        <w:ind w:left="5406" w:hanging="180"/>
      </w:pPr>
    </w:lvl>
    <w:lvl w:ilvl="6" w:tplc="0809000F" w:tentative="1">
      <w:start w:val="1"/>
      <w:numFmt w:val="decimal"/>
      <w:lvlText w:val="%7."/>
      <w:lvlJc w:val="left"/>
      <w:pPr>
        <w:ind w:left="6126" w:hanging="360"/>
      </w:pPr>
    </w:lvl>
    <w:lvl w:ilvl="7" w:tplc="08090019" w:tentative="1">
      <w:start w:val="1"/>
      <w:numFmt w:val="lowerLetter"/>
      <w:lvlText w:val="%8."/>
      <w:lvlJc w:val="left"/>
      <w:pPr>
        <w:ind w:left="6846" w:hanging="360"/>
      </w:pPr>
    </w:lvl>
    <w:lvl w:ilvl="8" w:tplc="08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2" w15:restartNumberingAfterBreak="0">
    <w:nsid w:val="65AB0B88"/>
    <w:multiLevelType w:val="hybridMultilevel"/>
    <w:tmpl w:val="29EE1618"/>
    <w:lvl w:ilvl="0" w:tplc="0809001B">
      <w:start w:val="1"/>
      <w:numFmt w:val="lowerRoman"/>
      <w:lvlText w:val="%1."/>
      <w:lvlJc w:val="righ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6DE24241"/>
    <w:multiLevelType w:val="hybridMultilevel"/>
    <w:tmpl w:val="D8D033B8"/>
    <w:lvl w:ilvl="0" w:tplc="0809001B">
      <w:start w:val="1"/>
      <w:numFmt w:val="lowerRoman"/>
      <w:lvlText w:val="%1."/>
      <w:lvlJc w:val="right"/>
      <w:pPr>
        <w:ind w:left="2662" w:hanging="360"/>
      </w:pPr>
    </w:lvl>
    <w:lvl w:ilvl="1" w:tplc="08090019" w:tentative="1">
      <w:start w:val="1"/>
      <w:numFmt w:val="lowerLetter"/>
      <w:lvlText w:val="%2."/>
      <w:lvlJc w:val="left"/>
      <w:pPr>
        <w:ind w:left="3382" w:hanging="360"/>
      </w:pPr>
    </w:lvl>
    <w:lvl w:ilvl="2" w:tplc="0809001B" w:tentative="1">
      <w:start w:val="1"/>
      <w:numFmt w:val="lowerRoman"/>
      <w:lvlText w:val="%3."/>
      <w:lvlJc w:val="right"/>
      <w:pPr>
        <w:ind w:left="4102" w:hanging="180"/>
      </w:pPr>
    </w:lvl>
    <w:lvl w:ilvl="3" w:tplc="0809000F" w:tentative="1">
      <w:start w:val="1"/>
      <w:numFmt w:val="decimal"/>
      <w:lvlText w:val="%4."/>
      <w:lvlJc w:val="left"/>
      <w:pPr>
        <w:ind w:left="4822" w:hanging="360"/>
      </w:pPr>
    </w:lvl>
    <w:lvl w:ilvl="4" w:tplc="08090019" w:tentative="1">
      <w:start w:val="1"/>
      <w:numFmt w:val="lowerLetter"/>
      <w:lvlText w:val="%5."/>
      <w:lvlJc w:val="left"/>
      <w:pPr>
        <w:ind w:left="5542" w:hanging="360"/>
      </w:pPr>
    </w:lvl>
    <w:lvl w:ilvl="5" w:tplc="0809001B" w:tentative="1">
      <w:start w:val="1"/>
      <w:numFmt w:val="lowerRoman"/>
      <w:lvlText w:val="%6."/>
      <w:lvlJc w:val="right"/>
      <w:pPr>
        <w:ind w:left="6262" w:hanging="180"/>
      </w:pPr>
    </w:lvl>
    <w:lvl w:ilvl="6" w:tplc="0809000F" w:tentative="1">
      <w:start w:val="1"/>
      <w:numFmt w:val="decimal"/>
      <w:lvlText w:val="%7."/>
      <w:lvlJc w:val="left"/>
      <w:pPr>
        <w:ind w:left="6982" w:hanging="360"/>
      </w:pPr>
    </w:lvl>
    <w:lvl w:ilvl="7" w:tplc="08090019" w:tentative="1">
      <w:start w:val="1"/>
      <w:numFmt w:val="lowerLetter"/>
      <w:lvlText w:val="%8."/>
      <w:lvlJc w:val="left"/>
      <w:pPr>
        <w:ind w:left="7702" w:hanging="360"/>
      </w:pPr>
    </w:lvl>
    <w:lvl w:ilvl="8" w:tplc="0809001B" w:tentative="1">
      <w:start w:val="1"/>
      <w:numFmt w:val="lowerRoman"/>
      <w:lvlText w:val="%9."/>
      <w:lvlJc w:val="right"/>
      <w:pPr>
        <w:ind w:left="842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F4"/>
    <w:rsid w:val="00125427"/>
    <w:rsid w:val="0029467B"/>
    <w:rsid w:val="003D031D"/>
    <w:rsid w:val="00492593"/>
    <w:rsid w:val="00776A8C"/>
    <w:rsid w:val="008A1A49"/>
    <w:rsid w:val="00E3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11621"/>
  <w15:chartTrackingRefBased/>
  <w15:docId w15:val="{4E04F07C-22BA-4F6F-8A56-AD876A82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A8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A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776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A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A8C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A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0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31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D0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31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Booth, Nerida</dc:creator>
  <cp:keywords/>
  <dc:description/>
  <cp:lastModifiedBy>Booth, Nerida</cp:lastModifiedBy>
  <cp:revision>3</cp:revision>
  <dcterms:created xsi:type="dcterms:W3CDTF">2016-09-02T15:36:00Z</dcterms:created>
  <dcterms:modified xsi:type="dcterms:W3CDTF">2016-09-02T16:16:00Z</dcterms:modified>
</cp:coreProperties>
</file>