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A0" w:rsidRDefault="00A457A0">
      <w:pPr>
        <w:rPr>
          <w:b/>
          <w:color w:val="C00000"/>
        </w:rPr>
      </w:pPr>
    </w:p>
    <w:p w:rsidR="007868EF" w:rsidRDefault="007868EF">
      <w:pPr>
        <w:rPr>
          <w:b/>
          <w:color w:val="C00000"/>
        </w:rPr>
      </w:pPr>
      <w:r>
        <w:rPr>
          <w:b/>
          <w:color w:val="C00000"/>
        </w:rPr>
        <w:t>School a</w:t>
      </w:r>
      <w:r w:rsidRPr="002B73EE">
        <w:rPr>
          <w:b/>
          <w:color w:val="C00000"/>
        </w:rPr>
        <w:t xml:space="preserve">ction </w:t>
      </w:r>
      <w:r>
        <w:rPr>
          <w:b/>
          <w:color w:val="C00000"/>
        </w:rPr>
        <w:t>p</w:t>
      </w:r>
      <w:r w:rsidRPr="002B73EE">
        <w:rPr>
          <w:b/>
          <w:color w:val="C00000"/>
        </w:rPr>
        <w:t xml:space="preserve">lan: improving research degree completion rates </w:t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  <w:r>
        <w:rPr>
          <w:b/>
          <w:color w:val="C0000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868EF" w:rsidTr="007868EF">
        <w:tc>
          <w:tcPr>
            <w:tcW w:w="9242" w:type="dxa"/>
          </w:tcPr>
          <w:p w:rsidR="007868EF" w:rsidRDefault="007868EF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Summary</w:t>
            </w:r>
          </w:p>
          <w:p w:rsidR="00097E18" w:rsidRDefault="00097E18">
            <w:pPr>
              <w:rPr>
                <w:b/>
                <w:color w:val="C00000"/>
              </w:rPr>
            </w:pPr>
          </w:p>
          <w:p w:rsidR="0014766A" w:rsidRDefault="00097E18" w:rsidP="00097E18">
            <w:r w:rsidRPr="0002408E">
              <w:t>Fol</w:t>
            </w:r>
            <w:r>
              <w:t xml:space="preserve">lowing recent discussions </w:t>
            </w:r>
            <w:r w:rsidR="00842015">
              <w:t>across the University</w:t>
            </w:r>
            <w:r>
              <w:t>, and the</w:t>
            </w:r>
            <w:r w:rsidR="00842015">
              <w:t xml:space="preserve"> recent</w:t>
            </w:r>
            <w:r>
              <w:t xml:space="preserve"> approval of the </w:t>
            </w:r>
            <w:hyperlink r:id="rId8" w:history="1">
              <w:r w:rsidR="00C00EAC" w:rsidRPr="00C00EAC">
                <w:rPr>
                  <w:rStyle w:val="Hyperlink"/>
                </w:rPr>
                <w:t xml:space="preserve">Research degrees’ </w:t>
              </w:r>
              <w:r w:rsidRPr="00C00EAC">
                <w:rPr>
                  <w:rStyle w:val="Hyperlink"/>
                </w:rPr>
                <w:t>Good Practice Guide</w:t>
              </w:r>
            </w:hyperlink>
            <w:r w:rsidR="00380DCF">
              <w:t xml:space="preserve">, the City Graduate School </w:t>
            </w:r>
            <w:r>
              <w:t>develop</w:t>
            </w:r>
            <w:r w:rsidR="00380DCF">
              <w:t>ed</w:t>
            </w:r>
            <w:r>
              <w:t xml:space="preserve"> an action plan</w:t>
            </w:r>
            <w:r w:rsidR="00C00EAC">
              <w:t xml:space="preserve"> (</w:t>
            </w:r>
            <w:r w:rsidR="00842015">
              <w:t>and a template</w:t>
            </w:r>
            <w:r w:rsidR="00C00EAC">
              <w:t xml:space="preserve"> on which actions could be recorded) for Schools to consider and take</w:t>
            </w:r>
            <w:r w:rsidR="00842015">
              <w:t xml:space="preserve"> steps to </w:t>
            </w:r>
            <w:r>
              <w:t>help improve research degree completion rates</w:t>
            </w:r>
            <w:r w:rsidR="0014766A">
              <w:t xml:space="preserve"> locally</w:t>
            </w:r>
            <w:r>
              <w:t xml:space="preserve">. </w:t>
            </w:r>
            <w:r w:rsidR="00AA0D6C">
              <w:t>The guid</w:t>
            </w:r>
            <w:r w:rsidR="005D6ABC">
              <w:t>ing</w:t>
            </w:r>
            <w:r w:rsidR="00AA0D6C">
              <w:t xml:space="preserve"> principle in developing the act</w:t>
            </w:r>
            <w:r w:rsidR="005D6ABC">
              <w:t xml:space="preserve">ion plan </w:t>
            </w:r>
            <w:r w:rsidR="00D560C7">
              <w:t>wa</w:t>
            </w:r>
            <w:r w:rsidR="005D6ABC">
              <w:t>s the recognition that responsibility for the academic progress of the University’s research students</w:t>
            </w:r>
            <w:r w:rsidR="00380DCF">
              <w:t xml:space="preserve"> was located</w:t>
            </w:r>
            <w:r w:rsidR="00D560C7">
              <w:t xml:space="preserve"> </w:t>
            </w:r>
            <w:r w:rsidR="005D6ABC">
              <w:t>with the Boards of Studies of the S</w:t>
            </w:r>
            <w:r w:rsidR="00380DCF">
              <w:t>chool within which the student wa</w:t>
            </w:r>
            <w:r w:rsidR="005D6ABC">
              <w:t xml:space="preserve">s registered. </w:t>
            </w:r>
          </w:p>
          <w:p w:rsidR="0014766A" w:rsidRDefault="0014766A" w:rsidP="00097E18"/>
          <w:p w:rsidR="00097E18" w:rsidRDefault="00842015" w:rsidP="00097E18">
            <w:r>
              <w:t xml:space="preserve">The following </w:t>
            </w:r>
            <w:r w:rsidR="00C00EAC">
              <w:t>action plan (and template) was approved</w:t>
            </w:r>
            <w:r w:rsidR="0014766A">
              <w:t xml:space="preserve"> </w:t>
            </w:r>
            <w:r w:rsidR="00C00EAC">
              <w:t xml:space="preserve">by University </w:t>
            </w:r>
            <w:proofErr w:type="spellStart"/>
            <w:r w:rsidR="00C00EAC">
              <w:t>ExCo</w:t>
            </w:r>
            <w:proofErr w:type="spellEnd"/>
            <w:r w:rsidR="00C00EAC">
              <w:t xml:space="preserve"> at its meeting on </w:t>
            </w:r>
            <w:r w:rsidR="0014766A">
              <w:t>26 January 2016 and is divided into the following subsections:</w:t>
            </w:r>
          </w:p>
          <w:p w:rsidR="007868EF" w:rsidRDefault="007868EF">
            <w:pPr>
              <w:rPr>
                <w:b/>
                <w:color w:val="C00000"/>
              </w:rPr>
            </w:pPr>
          </w:p>
          <w:p w:rsidR="00A47FFE" w:rsidRPr="00097E18" w:rsidRDefault="00A47FFE" w:rsidP="00097E18">
            <w:pPr>
              <w:pStyle w:val="ListParagraph"/>
              <w:numPr>
                <w:ilvl w:val="0"/>
                <w:numId w:val="8"/>
              </w:numPr>
            </w:pPr>
            <w:r w:rsidRPr="00097E18">
              <w:t>Student Recruitment, Selection and Admission</w:t>
            </w:r>
          </w:p>
          <w:p w:rsidR="00A47FFE" w:rsidRPr="00097E18" w:rsidRDefault="00A47FFE" w:rsidP="00097E18">
            <w:pPr>
              <w:pStyle w:val="ListParagraph"/>
              <w:numPr>
                <w:ilvl w:val="0"/>
                <w:numId w:val="8"/>
              </w:numPr>
            </w:pPr>
            <w:r w:rsidRPr="00097E18">
              <w:t>Progress monitoring and registration</w:t>
            </w:r>
          </w:p>
          <w:p w:rsidR="007868EF" w:rsidRPr="00097E18" w:rsidRDefault="00A47FFE" w:rsidP="00097E18">
            <w:pPr>
              <w:pStyle w:val="ListParagraph"/>
              <w:numPr>
                <w:ilvl w:val="0"/>
                <w:numId w:val="8"/>
              </w:numPr>
            </w:pPr>
            <w:r w:rsidRPr="00097E18">
              <w:t>Supervision and supervisor development</w:t>
            </w:r>
          </w:p>
          <w:p w:rsidR="00A47FFE" w:rsidRPr="00097E18" w:rsidRDefault="00A47FFE" w:rsidP="00097E1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 w:rsidRPr="00097E18">
              <w:t>Research environment</w:t>
            </w:r>
          </w:p>
          <w:p w:rsidR="00097E18" w:rsidRPr="00097E18" w:rsidRDefault="00097E18" w:rsidP="00097E18"/>
          <w:p w:rsidR="00097E18" w:rsidRDefault="00097E18" w:rsidP="00097E18">
            <w:r w:rsidRPr="00097E18">
              <w:t>School Boards of Studi</w:t>
            </w:r>
            <w:r w:rsidR="00AA0D6C">
              <w:t xml:space="preserve">es, or delegated sub-committees, </w:t>
            </w:r>
            <w:r w:rsidRPr="00097E18">
              <w:t>are asked to:</w:t>
            </w:r>
          </w:p>
          <w:p w:rsidR="0014766A" w:rsidRDefault="0014766A" w:rsidP="00097E18"/>
          <w:p w:rsidR="00AA0D6C" w:rsidRDefault="00AA0D6C" w:rsidP="00AA0D6C">
            <w:pPr>
              <w:pStyle w:val="ListParagraph"/>
              <w:numPr>
                <w:ilvl w:val="0"/>
                <w:numId w:val="9"/>
              </w:numPr>
            </w:pPr>
            <w:r>
              <w:t>consider each recommendation</w:t>
            </w:r>
            <w:r w:rsidR="00C00EAC" w:rsidRPr="00AA0D6C">
              <w:t xml:space="preserve"> </w:t>
            </w:r>
          </w:p>
          <w:p w:rsidR="00AA0D6C" w:rsidRPr="00AA0D6C" w:rsidRDefault="00AA0D6C" w:rsidP="00AA0D6C">
            <w:pPr>
              <w:pStyle w:val="ListParagraph"/>
              <w:numPr>
                <w:ilvl w:val="0"/>
                <w:numId w:val="9"/>
              </w:numPr>
            </w:pPr>
            <w:r>
              <w:t>recommend appropriate actions</w:t>
            </w:r>
            <w:r w:rsidR="005D6ABC">
              <w:t xml:space="preserve"> </w:t>
            </w:r>
          </w:p>
          <w:p w:rsidR="00C00EAC" w:rsidRDefault="00AA0D6C" w:rsidP="00C00EAC">
            <w:pPr>
              <w:pStyle w:val="ListParagraph"/>
              <w:numPr>
                <w:ilvl w:val="0"/>
                <w:numId w:val="9"/>
              </w:numPr>
            </w:pPr>
            <w:r>
              <w:t xml:space="preserve">identify appropriate oversight </w:t>
            </w:r>
          </w:p>
          <w:p w:rsidR="00AA0D6C" w:rsidRDefault="005D6ABC" w:rsidP="00C00EAC">
            <w:pPr>
              <w:pStyle w:val="ListParagraph"/>
              <w:numPr>
                <w:ilvl w:val="0"/>
                <w:numId w:val="9"/>
              </w:numPr>
            </w:pPr>
            <w:r>
              <w:t>acknowledge corresponding actions currently being taken forward through the annual research degree programme evaluation exercise and/or Periodic Review</w:t>
            </w:r>
          </w:p>
          <w:p w:rsidR="00D560C7" w:rsidRPr="009773E5" w:rsidRDefault="00D560C7" w:rsidP="00D560C7">
            <w:pPr>
              <w:rPr>
                <w:b/>
              </w:rPr>
            </w:pPr>
          </w:p>
          <w:p w:rsidR="00AA0D6C" w:rsidRPr="00D560C7" w:rsidRDefault="00D560C7" w:rsidP="00605B0F">
            <w:pPr>
              <w:rPr>
                <w:color w:val="C00000"/>
              </w:rPr>
            </w:pPr>
            <w:r w:rsidRPr="00D560C7">
              <w:t xml:space="preserve">School Boards of Studies, or delegated sub-committees, are </w:t>
            </w:r>
            <w:r w:rsidR="00605B0F">
              <w:t>required to review the</w:t>
            </w:r>
            <w:r w:rsidR="00097E18" w:rsidRPr="00D560C7">
              <w:t xml:space="preserve"> action plan once annually for reporting to and consideration by the Graduate School Com</w:t>
            </w:r>
            <w:r w:rsidR="00F072B5" w:rsidRPr="00D560C7">
              <w:t>m</w:t>
            </w:r>
            <w:bookmarkStart w:id="0" w:name="_GoBack"/>
            <w:r w:rsidR="00F072B5" w:rsidRPr="00D560C7">
              <w:t>i</w:t>
            </w:r>
            <w:bookmarkEnd w:id="0"/>
            <w:r w:rsidR="00F072B5" w:rsidRPr="00D560C7">
              <w:t xml:space="preserve">ttee </w:t>
            </w:r>
            <w:r w:rsidRPr="00D560C7">
              <w:t>and to</w:t>
            </w:r>
            <w:r w:rsidR="00AA0D6C" w:rsidRPr="00D560C7">
              <w:t xml:space="preserve"> help share good practice between Schools across the University as well as help identify particular areas for future development.  </w:t>
            </w:r>
          </w:p>
        </w:tc>
      </w:tr>
    </w:tbl>
    <w:p w:rsidR="007868EF" w:rsidRDefault="007868EF">
      <w:pPr>
        <w:rPr>
          <w:b/>
          <w:color w:val="C00000"/>
        </w:rPr>
      </w:pPr>
    </w:p>
    <w:p w:rsidR="007868EF" w:rsidRDefault="007868EF">
      <w:pPr>
        <w:rPr>
          <w:b/>
          <w:color w:val="C00000"/>
        </w:rPr>
      </w:pPr>
    </w:p>
    <w:p w:rsidR="007868EF" w:rsidRDefault="007868EF">
      <w:pPr>
        <w:rPr>
          <w:b/>
          <w:color w:val="C00000"/>
        </w:rPr>
      </w:pPr>
    </w:p>
    <w:p w:rsidR="007868EF" w:rsidRDefault="007868EF" w:rsidP="007868EF">
      <w:pPr>
        <w:rPr>
          <w:color w:val="1F497D"/>
        </w:rPr>
      </w:pPr>
      <w:r>
        <w:rPr>
          <w:color w:val="1F497D"/>
        </w:rPr>
        <w:t xml:space="preserve"> </w:t>
      </w:r>
    </w:p>
    <w:p w:rsidR="007868EF" w:rsidRDefault="007868EF">
      <w:pPr>
        <w:rPr>
          <w:b/>
          <w:color w:val="C00000"/>
        </w:rPr>
        <w:sectPr w:rsidR="007868EF" w:rsidSect="00A457A0">
          <w:footerReference w:type="default" r:id="rId9"/>
          <w:pgSz w:w="11906" w:h="16838"/>
          <w:pgMar w:top="851" w:right="1440" w:bottom="1440" w:left="1440" w:header="709" w:footer="709" w:gutter="0"/>
          <w:cols w:space="708"/>
          <w:docGrid w:linePitch="360"/>
        </w:sectPr>
      </w:pPr>
    </w:p>
    <w:p w:rsidR="008C39B9" w:rsidRPr="002B73EE" w:rsidRDefault="00AA0D6C" w:rsidP="008C39B9">
      <w:pPr>
        <w:rPr>
          <w:b/>
          <w:color w:val="C00000"/>
        </w:rPr>
      </w:pPr>
      <w:r>
        <w:rPr>
          <w:b/>
          <w:color w:val="C00000"/>
        </w:rPr>
        <w:lastRenderedPageBreak/>
        <w:t xml:space="preserve">2015/16 </w:t>
      </w:r>
      <w:r w:rsidR="001248FC">
        <w:rPr>
          <w:b/>
          <w:color w:val="C00000"/>
        </w:rPr>
        <w:t>School a</w:t>
      </w:r>
      <w:r w:rsidR="008C39B9" w:rsidRPr="002B73EE">
        <w:rPr>
          <w:b/>
          <w:color w:val="C00000"/>
        </w:rPr>
        <w:t xml:space="preserve">ction </w:t>
      </w:r>
      <w:r w:rsidR="001248FC">
        <w:rPr>
          <w:b/>
          <w:color w:val="C00000"/>
        </w:rPr>
        <w:t>p</w:t>
      </w:r>
      <w:r w:rsidR="008C39B9" w:rsidRPr="002B73EE">
        <w:rPr>
          <w:b/>
          <w:color w:val="C00000"/>
        </w:rPr>
        <w:t xml:space="preserve">lan: improving research degree completion rates </w:t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  <w:r w:rsidR="008C39B9">
        <w:rPr>
          <w:b/>
          <w:color w:val="C00000"/>
        </w:rPr>
        <w:tab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2410"/>
        <w:gridCol w:w="2410"/>
        <w:gridCol w:w="2410"/>
        <w:gridCol w:w="2551"/>
        <w:gridCol w:w="1559"/>
      </w:tblGrid>
      <w:tr w:rsidR="008C39B9" w:rsidTr="00931337">
        <w:tc>
          <w:tcPr>
            <w:tcW w:w="815" w:type="dxa"/>
            <w:vMerge w:val="restart"/>
            <w:textDirection w:val="btLr"/>
          </w:tcPr>
          <w:p w:rsidR="008C39B9" w:rsidRPr="002B73EE" w:rsidRDefault="008C39B9" w:rsidP="00931337">
            <w:pPr>
              <w:ind w:left="360" w:right="113"/>
              <w:jc w:val="center"/>
              <w:rPr>
                <w:b/>
              </w:rPr>
            </w:pPr>
            <w:r w:rsidRPr="002B73EE">
              <w:rPr>
                <w:b/>
                <w:color w:val="C00000"/>
              </w:rPr>
              <w:t>Student Recruitment, Selection and Admission</w:t>
            </w:r>
          </w:p>
        </w:tc>
        <w:tc>
          <w:tcPr>
            <w:tcW w:w="3262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Recommendation</w:t>
            </w:r>
          </w:p>
        </w:tc>
        <w:tc>
          <w:tcPr>
            <w:tcW w:w="2410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Responsibility/</w:t>
            </w:r>
          </w:p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Committee</w:t>
            </w:r>
          </w:p>
          <w:p w:rsidR="008C39B9" w:rsidRPr="002B73EE" w:rsidRDefault="008C39B9" w:rsidP="00931337">
            <w:pPr>
              <w:rPr>
                <w:b/>
                <w:color w:val="C00000"/>
              </w:rPr>
            </w:pPr>
          </w:p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Action</w:t>
            </w:r>
          </w:p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Update on action</w:t>
            </w:r>
          </w:p>
        </w:tc>
        <w:tc>
          <w:tcPr>
            <w:tcW w:w="2551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Link to action in APE/Periodic Review</w:t>
            </w:r>
          </w:p>
        </w:tc>
        <w:tc>
          <w:tcPr>
            <w:tcW w:w="1559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Deadline/</w:t>
            </w:r>
          </w:p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frequency</w:t>
            </w:r>
          </w:p>
        </w:tc>
      </w:tr>
      <w:tr w:rsidR="008C39B9" w:rsidTr="00931337">
        <w:trPr>
          <w:trHeight w:val="1180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Default="008C39B9" w:rsidP="00931337">
            <w:pPr>
              <w:pStyle w:val="ListParagraph"/>
              <w:numPr>
                <w:ilvl w:val="0"/>
                <w:numId w:val="1"/>
              </w:numPr>
            </w:pPr>
            <w:r>
              <w:t>Promote research expertise of potential supervisors and doctoral student projects/research areas on School webpages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trHeight w:val="734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Default="008C39B9" w:rsidP="00931337">
            <w:pPr>
              <w:pStyle w:val="ListParagraph"/>
              <w:numPr>
                <w:ilvl w:val="0"/>
                <w:numId w:val="1"/>
              </w:numPr>
            </w:pPr>
            <w:r>
              <w:t>Develop PGR student profiles/case studies on School webpages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trHeight w:val="1175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Pr="00976AE4" w:rsidRDefault="008C39B9" w:rsidP="00931337">
            <w:pPr>
              <w:pStyle w:val="ListParagraph"/>
              <w:numPr>
                <w:ilvl w:val="0"/>
                <w:numId w:val="1"/>
              </w:numPr>
            </w:pPr>
            <w:r w:rsidRPr="00976AE4">
              <w:t>Review and if needed enhance selection and admissions processes, including the use of interviews, pre-registration support  and open days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trHeight w:val="1175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Pr="00976AE4" w:rsidRDefault="008C39B9" w:rsidP="00931337">
            <w:pPr>
              <w:pStyle w:val="ListParagraph"/>
              <w:numPr>
                <w:ilvl w:val="0"/>
                <w:numId w:val="1"/>
              </w:numPr>
            </w:pPr>
            <w:r w:rsidRPr="00976AE4">
              <w:t xml:space="preserve">Ensure applicants are aware of financial commitment of study and clarity expectations of the programme at the outset, including key milestones indicated in </w:t>
            </w:r>
            <w:proofErr w:type="spellStart"/>
            <w:r w:rsidRPr="00976AE4">
              <w:t>RaP</w:t>
            </w:r>
            <w:proofErr w:type="spellEnd"/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trHeight w:val="908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Pr="00976AE4" w:rsidRDefault="008C39B9" w:rsidP="00931337">
            <w:pPr>
              <w:pStyle w:val="ListParagraph"/>
              <w:numPr>
                <w:ilvl w:val="0"/>
                <w:numId w:val="1"/>
              </w:numPr>
            </w:pPr>
            <w:r w:rsidRPr="00976AE4">
              <w:t>Provide School/Department inductions for new research students to supplement the University-wide induction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trHeight w:val="1175"/>
        </w:trPr>
        <w:tc>
          <w:tcPr>
            <w:tcW w:w="815" w:type="dxa"/>
            <w:vMerge/>
          </w:tcPr>
          <w:p w:rsidR="008C39B9" w:rsidRDefault="008C39B9" w:rsidP="00931337">
            <w:pPr>
              <w:ind w:left="360"/>
            </w:pPr>
          </w:p>
        </w:tc>
        <w:tc>
          <w:tcPr>
            <w:tcW w:w="3262" w:type="dxa"/>
          </w:tcPr>
          <w:p w:rsidR="008C39B9" w:rsidRPr="00976AE4" w:rsidRDefault="008C39B9" w:rsidP="00931337">
            <w:pPr>
              <w:pStyle w:val="ListParagraph"/>
              <w:numPr>
                <w:ilvl w:val="0"/>
                <w:numId w:val="1"/>
              </w:numPr>
            </w:pPr>
            <w:r w:rsidRPr="00976AE4">
              <w:t>Review unsuccessful applications to see what lessons can be learned to enhance the process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c>
          <w:tcPr>
            <w:tcW w:w="815" w:type="dxa"/>
            <w:vMerge w:val="restart"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  <w:r w:rsidRPr="00B65062">
              <w:rPr>
                <w:b/>
                <w:color w:val="C00000"/>
              </w:rPr>
              <w:lastRenderedPageBreak/>
              <w:t>Progress monitoring and registration</w:t>
            </w:r>
            <w:r w:rsidRPr="00B65062">
              <w:rPr>
                <w:b/>
                <w:color w:val="C0504D" w:themeColor="accent2"/>
              </w:rPr>
              <w:t xml:space="preserve"> </w:t>
            </w:r>
          </w:p>
        </w:tc>
        <w:tc>
          <w:tcPr>
            <w:tcW w:w="3262" w:type="dxa"/>
          </w:tcPr>
          <w:p w:rsidR="008C39B9" w:rsidRDefault="008C39B9" w:rsidP="00931337">
            <w:r w:rsidRPr="002B73EE">
              <w:rPr>
                <w:b/>
                <w:color w:val="C00000"/>
              </w:rPr>
              <w:t>Recommendation</w:t>
            </w:r>
          </w:p>
        </w:tc>
        <w:tc>
          <w:tcPr>
            <w:tcW w:w="2410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Responsibility/</w:t>
            </w:r>
          </w:p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Committee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Action</w:t>
            </w:r>
          </w:p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Update on action</w:t>
            </w:r>
          </w:p>
        </w:tc>
        <w:tc>
          <w:tcPr>
            <w:tcW w:w="2551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Link to action in APE/Periodic Review</w:t>
            </w:r>
          </w:p>
        </w:tc>
        <w:tc>
          <w:tcPr>
            <w:tcW w:w="1559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Deadline/</w:t>
            </w:r>
          </w:p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frequency</w:t>
            </w:r>
          </w:p>
        </w:tc>
      </w:tr>
      <w:tr w:rsidR="009773E5" w:rsidTr="00931337">
        <w:trPr>
          <w:trHeight w:val="1345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 xml:space="preserve">Review student academic progress regularly through the completion of key milestones in </w:t>
            </w:r>
            <w:proofErr w:type="spellStart"/>
            <w:r>
              <w:t>RaP</w:t>
            </w:r>
            <w:proofErr w:type="spellEnd"/>
            <w:r>
              <w:t xml:space="preserve">, including supervision meetings and the annual progress review, and other mechanisms 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342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>Monitor upgrade process of each student and transfer to MPhil if transfer unsuccessful within the maximum period permitted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884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>Review approval process for periods of suspension and requests for extension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138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>Develop efficient and effective processes for approval of research student research ethics applications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395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 xml:space="preserve">Monitor and develop research degree programmes through the Annual Programme Evaluation exercise 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342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2"/>
              </w:numPr>
            </w:pPr>
            <w:r>
              <w:t xml:space="preserve">Review research degree management information and undertake regular research degree data analysis 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8C39B9" w:rsidTr="00931337">
        <w:tc>
          <w:tcPr>
            <w:tcW w:w="815" w:type="dxa"/>
            <w:vMerge w:val="restart"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  <w:r w:rsidRPr="00B65062">
              <w:rPr>
                <w:b/>
                <w:color w:val="C00000"/>
              </w:rPr>
              <w:lastRenderedPageBreak/>
              <w:t>Supervision and supervisor development</w:t>
            </w:r>
          </w:p>
        </w:tc>
        <w:tc>
          <w:tcPr>
            <w:tcW w:w="3262" w:type="dxa"/>
          </w:tcPr>
          <w:p w:rsidR="008C39B9" w:rsidRDefault="008C39B9" w:rsidP="00931337">
            <w:r w:rsidRPr="002B73EE">
              <w:rPr>
                <w:b/>
                <w:color w:val="C00000"/>
              </w:rPr>
              <w:t>Recommendation</w:t>
            </w:r>
          </w:p>
        </w:tc>
        <w:tc>
          <w:tcPr>
            <w:tcW w:w="2410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Responsibility/</w:t>
            </w:r>
          </w:p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Committee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Action</w:t>
            </w:r>
          </w:p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Update on action</w:t>
            </w:r>
          </w:p>
        </w:tc>
        <w:tc>
          <w:tcPr>
            <w:tcW w:w="2551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Link to action in APE/Periodic Review</w:t>
            </w:r>
          </w:p>
        </w:tc>
        <w:tc>
          <w:tcPr>
            <w:tcW w:w="1559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Deadline/</w:t>
            </w:r>
          </w:p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frequency</w:t>
            </w:r>
          </w:p>
        </w:tc>
      </w:tr>
      <w:tr w:rsidR="009773E5" w:rsidTr="00931337">
        <w:trPr>
          <w:trHeight w:val="1480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>Review supervision loads and take PGR supervision into account in School/</w:t>
            </w:r>
          </w:p>
          <w:p w:rsidR="009773E5" w:rsidRDefault="009773E5" w:rsidP="00931337">
            <w:pPr>
              <w:ind w:left="360"/>
            </w:pPr>
            <w:r>
              <w:t>Departmental workload allocation models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660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 xml:space="preserve">Monitor staff usage of </w:t>
            </w:r>
            <w:proofErr w:type="spellStart"/>
            <w:r>
              <w:t>RaP</w:t>
            </w:r>
            <w:proofErr w:type="spellEnd"/>
            <w:r>
              <w:t xml:space="preserve"> and address issues arising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421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 xml:space="preserve">Review and develop practice to ensure appropriate supervision is available during periods of absence or staff departure 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477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>Explore mechanisms to  encourage staff peer-to-peer support and mentoring of less experience research supervisors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477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>Review supervision practice, including the role of the second supervisor, and categorisation of research supervisors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  <w:tr w:rsidR="009773E5" w:rsidTr="00931337">
        <w:trPr>
          <w:trHeight w:val="1477"/>
        </w:trPr>
        <w:tc>
          <w:tcPr>
            <w:tcW w:w="815" w:type="dxa"/>
            <w:vMerge/>
          </w:tcPr>
          <w:p w:rsidR="009773E5" w:rsidRDefault="009773E5" w:rsidP="00931337">
            <w:pPr>
              <w:ind w:left="360"/>
            </w:pPr>
          </w:p>
        </w:tc>
        <w:tc>
          <w:tcPr>
            <w:tcW w:w="3262" w:type="dxa"/>
          </w:tcPr>
          <w:p w:rsidR="009773E5" w:rsidRDefault="009773E5" w:rsidP="00931337">
            <w:pPr>
              <w:pStyle w:val="ListParagraph"/>
              <w:numPr>
                <w:ilvl w:val="0"/>
                <w:numId w:val="3"/>
              </w:numPr>
            </w:pPr>
            <w:r>
              <w:t xml:space="preserve">Promote the engagement of research supervisors in appropriate professional development activities, such as completion of Research Supervision module on MA in </w:t>
            </w:r>
            <w:r>
              <w:lastRenderedPageBreak/>
              <w:t>Academic Practice and attendance at relevant fora in the sector (e.g. those organised through Vitae, SHRE, and UKCGE)</w:t>
            </w:r>
          </w:p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410" w:type="dxa"/>
          </w:tcPr>
          <w:p w:rsidR="009773E5" w:rsidRDefault="009773E5" w:rsidP="00931337"/>
        </w:tc>
        <w:tc>
          <w:tcPr>
            <w:tcW w:w="2551" w:type="dxa"/>
          </w:tcPr>
          <w:p w:rsidR="009773E5" w:rsidRDefault="009773E5" w:rsidP="00931337"/>
        </w:tc>
        <w:tc>
          <w:tcPr>
            <w:tcW w:w="1559" w:type="dxa"/>
          </w:tcPr>
          <w:p w:rsidR="009773E5" w:rsidRDefault="009773E5" w:rsidP="00931337"/>
        </w:tc>
      </w:tr>
    </w:tbl>
    <w:p w:rsidR="008C39B9" w:rsidRDefault="008C39B9" w:rsidP="008C39B9"/>
    <w:p w:rsidR="008C39B9" w:rsidRDefault="008C39B9" w:rsidP="008C39B9">
      <w:r>
        <w:br w:type="page"/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815"/>
        <w:gridCol w:w="3262"/>
        <w:gridCol w:w="2410"/>
        <w:gridCol w:w="2410"/>
        <w:gridCol w:w="2410"/>
        <w:gridCol w:w="2551"/>
        <w:gridCol w:w="1559"/>
      </w:tblGrid>
      <w:tr w:rsidR="008C39B9" w:rsidTr="00931337">
        <w:tc>
          <w:tcPr>
            <w:tcW w:w="815" w:type="dxa"/>
            <w:vMerge w:val="restart"/>
            <w:textDirection w:val="btLr"/>
          </w:tcPr>
          <w:p w:rsidR="008C39B9" w:rsidRPr="00F51B17" w:rsidRDefault="008C39B9" w:rsidP="00931337">
            <w:pPr>
              <w:ind w:left="360" w:right="113"/>
              <w:jc w:val="center"/>
              <w:rPr>
                <w:b/>
              </w:rPr>
            </w:pPr>
            <w:r w:rsidRPr="00F51B17">
              <w:rPr>
                <w:b/>
                <w:color w:val="C00000"/>
              </w:rPr>
              <w:lastRenderedPageBreak/>
              <w:t>Research environment</w:t>
            </w:r>
          </w:p>
        </w:tc>
        <w:tc>
          <w:tcPr>
            <w:tcW w:w="3262" w:type="dxa"/>
          </w:tcPr>
          <w:p w:rsidR="008C39B9" w:rsidRDefault="008C39B9" w:rsidP="00931337">
            <w:r w:rsidRPr="002B73EE">
              <w:rPr>
                <w:b/>
                <w:color w:val="C00000"/>
              </w:rPr>
              <w:t>Recommendation</w:t>
            </w:r>
          </w:p>
        </w:tc>
        <w:tc>
          <w:tcPr>
            <w:tcW w:w="2410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Responsibility/</w:t>
            </w:r>
          </w:p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Committee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Action</w:t>
            </w:r>
          </w:p>
        </w:tc>
        <w:tc>
          <w:tcPr>
            <w:tcW w:w="2410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Update on action</w:t>
            </w:r>
          </w:p>
        </w:tc>
        <w:tc>
          <w:tcPr>
            <w:tcW w:w="2551" w:type="dxa"/>
          </w:tcPr>
          <w:p w:rsidR="008C39B9" w:rsidRPr="002B73EE" w:rsidRDefault="008C39B9" w:rsidP="0093133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Link to action in APE/Periodic Review</w:t>
            </w:r>
          </w:p>
        </w:tc>
        <w:tc>
          <w:tcPr>
            <w:tcW w:w="1559" w:type="dxa"/>
          </w:tcPr>
          <w:p w:rsidR="008C39B9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Deadline/</w:t>
            </w:r>
          </w:p>
          <w:p w:rsidR="008C39B9" w:rsidRPr="002B73EE" w:rsidRDefault="008C39B9" w:rsidP="00931337">
            <w:pPr>
              <w:rPr>
                <w:b/>
                <w:color w:val="C00000"/>
              </w:rPr>
            </w:pPr>
            <w:r w:rsidRPr="002B73EE">
              <w:rPr>
                <w:b/>
                <w:color w:val="C00000"/>
              </w:rPr>
              <w:t>frequency</w:t>
            </w:r>
          </w:p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>Promote networking opportunities within/across School/Departments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>Review provision of teaching opportunities and assess distribution of teaching responsibilities across cohorts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>Consider mechanisms to increase publication of research student work, such as hosting School PGR symposium and/or 3 minute thesis competition (3MT®) as heats to University events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 xml:space="preserve">Map existing School/Department research skills and methods training against the domains of the </w:t>
            </w:r>
            <w:hyperlink r:id="rId10" w:history="1">
              <w:r w:rsidRPr="009C5DCB">
                <w:rPr>
                  <w:rStyle w:val="Hyperlink"/>
                </w:rPr>
                <w:t>Vitae Framework for Researcher development</w:t>
              </w:r>
            </w:hyperlink>
          </w:p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>Direct students to Careers Service and other student support services</w:t>
            </w:r>
          </w:p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  <w:tr w:rsidR="008C39B9" w:rsidTr="00931337">
        <w:trPr>
          <w:cantSplit/>
          <w:trHeight w:val="1134"/>
        </w:trPr>
        <w:tc>
          <w:tcPr>
            <w:tcW w:w="815" w:type="dxa"/>
            <w:vMerge/>
            <w:textDirection w:val="btLr"/>
          </w:tcPr>
          <w:p w:rsidR="008C39B9" w:rsidRPr="00B65062" w:rsidRDefault="008C39B9" w:rsidP="00931337">
            <w:pPr>
              <w:ind w:left="360" w:right="113"/>
              <w:jc w:val="center"/>
              <w:rPr>
                <w:b/>
              </w:rPr>
            </w:pPr>
          </w:p>
        </w:tc>
        <w:tc>
          <w:tcPr>
            <w:tcW w:w="3262" w:type="dxa"/>
          </w:tcPr>
          <w:p w:rsidR="008C39B9" w:rsidRDefault="008C39B9" w:rsidP="008C39B9">
            <w:pPr>
              <w:pStyle w:val="ListParagraph"/>
              <w:numPr>
                <w:ilvl w:val="0"/>
                <w:numId w:val="6"/>
              </w:numPr>
            </w:pPr>
            <w:r>
              <w:t>Develop mechanisms to help students be known in the community and to meet with future employers</w:t>
            </w:r>
          </w:p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410" w:type="dxa"/>
          </w:tcPr>
          <w:p w:rsidR="008C39B9" w:rsidRDefault="008C39B9" w:rsidP="00931337"/>
        </w:tc>
        <w:tc>
          <w:tcPr>
            <w:tcW w:w="2551" w:type="dxa"/>
          </w:tcPr>
          <w:p w:rsidR="008C39B9" w:rsidRDefault="008C39B9" w:rsidP="00931337"/>
        </w:tc>
        <w:tc>
          <w:tcPr>
            <w:tcW w:w="1559" w:type="dxa"/>
          </w:tcPr>
          <w:p w:rsidR="008C39B9" w:rsidRDefault="008C39B9" w:rsidP="00931337"/>
        </w:tc>
      </w:tr>
    </w:tbl>
    <w:p w:rsidR="008C39B9" w:rsidRDefault="008C39B9" w:rsidP="008C39B9"/>
    <w:p w:rsidR="00097E18" w:rsidRDefault="008C39B9" w:rsidP="008C39B9">
      <w:pPr>
        <w:sectPr w:rsidR="00097E18" w:rsidSect="00A457A0">
          <w:pgSz w:w="16838" w:h="11906" w:orient="landscape"/>
          <w:pgMar w:top="1440" w:right="1440" w:bottom="1440" w:left="851" w:header="709" w:footer="709" w:gutter="0"/>
          <w:cols w:space="708"/>
          <w:docGrid w:linePitch="360"/>
        </w:sectPr>
      </w:pPr>
      <w:r>
        <w:br w:type="page"/>
      </w:r>
    </w:p>
    <w:p w:rsidR="008C39B9" w:rsidRDefault="008C39B9" w:rsidP="00097E18">
      <w:pPr>
        <w:spacing w:after="0" w:line="240" w:lineRule="auto"/>
        <w:contextualSpacing/>
        <w:rPr>
          <w:b/>
          <w:color w:val="C00000"/>
        </w:rPr>
      </w:pPr>
      <w:r w:rsidRPr="003E49C9">
        <w:rPr>
          <w:b/>
          <w:color w:val="C00000"/>
        </w:rPr>
        <w:lastRenderedPageBreak/>
        <w:t>Summary of intended measures of success/impact of proposed actions to improve research degree completion rates</w:t>
      </w:r>
    </w:p>
    <w:p w:rsidR="00097E18" w:rsidRPr="003E49C9" w:rsidRDefault="00097E18" w:rsidP="00097E18">
      <w:pPr>
        <w:spacing w:after="0" w:line="240" w:lineRule="auto"/>
        <w:contextualSpacing/>
        <w:rPr>
          <w:b/>
          <w:color w:val="C00000"/>
        </w:rPr>
      </w:pPr>
    </w:p>
    <w:tbl>
      <w:tblPr>
        <w:tblStyle w:val="TableGrid"/>
        <w:tblpPr w:leftFromText="180" w:rightFromText="180" w:vertAnchor="text" w:horzAnchor="margin" w:tblpY="75"/>
        <w:tblW w:w="14567" w:type="dxa"/>
        <w:tblLook w:val="04A0" w:firstRow="1" w:lastRow="0" w:firstColumn="1" w:lastColumn="0" w:noHBand="0" w:noVBand="1"/>
      </w:tblPr>
      <w:tblGrid>
        <w:gridCol w:w="1809"/>
        <w:gridCol w:w="12758"/>
      </w:tblGrid>
      <w:tr w:rsidR="00097E18" w:rsidRPr="00A6295A" w:rsidTr="00097E18">
        <w:tc>
          <w:tcPr>
            <w:tcW w:w="1809" w:type="dxa"/>
          </w:tcPr>
          <w:p w:rsidR="00097E18" w:rsidRPr="00A6295A" w:rsidRDefault="00097E18" w:rsidP="00931337">
            <w:pPr>
              <w:jc w:val="center"/>
              <w:rPr>
                <w:b/>
                <w:color w:val="C00000"/>
              </w:rPr>
            </w:pPr>
            <w:r>
              <w:br w:type="page"/>
            </w:r>
            <w:r w:rsidRPr="00A6295A">
              <w:rPr>
                <w:b/>
                <w:color w:val="C00000"/>
              </w:rPr>
              <w:t>Objective</w:t>
            </w:r>
          </w:p>
        </w:tc>
        <w:tc>
          <w:tcPr>
            <w:tcW w:w="12758" w:type="dxa"/>
          </w:tcPr>
          <w:p w:rsidR="00097E18" w:rsidRPr="00A6295A" w:rsidRDefault="00097E18" w:rsidP="00931337">
            <w:pPr>
              <w:rPr>
                <w:b/>
                <w:color w:val="C00000"/>
              </w:rPr>
            </w:pPr>
            <w:r w:rsidRPr="00A6295A">
              <w:rPr>
                <w:b/>
                <w:color w:val="C00000"/>
              </w:rPr>
              <w:t xml:space="preserve">Measure of success/impact </w:t>
            </w:r>
          </w:p>
          <w:p w:rsidR="00097E18" w:rsidRPr="00A6295A" w:rsidRDefault="00097E18" w:rsidP="00931337">
            <w:pPr>
              <w:rPr>
                <w:b/>
                <w:color w:val="C00000"/>
              </w:rPr>
            </w:pPr>
          </w:p>
        </w:tc>
      </w:tr>
      <w:tr w:rsidR="00097E18" w:rsidTr="00097E18">
        <w:trPr>
          <w:trHeight w:val="1718"/>
        </w:trPr>
        <w:tc>
          <w:tcPr>
            <w:tcW w:w="1809" w:type="dxa"/>
            <w:textDirection w:val="btLr"/>
          </w:tcPr>
          <w:p w:rsidR="00097E18" w:rsidRPr="00F51B17" w:rsidRDefault="00097E18" w:rsidP="00931337">
            <w:pPr>
              <w:ind w:left="113" w:right="113"/>
              <w:jc w:val="center"/>
              <w:rPr>
                <w:b/>
                <w:color w:val="C00000"/>
              </w:rPr>
            </w:pPr>
            <w:r w:rsidRPr="00F51B17">
              <w:rPr>
                <w:b/>
                <w:color w:val="C00000"/>
              </w:rPr>
              <w:t>Student recruitment, selection and admission</w:t>
            </w:r>
          </w:p>
        </w:tc>
        <w:tc>
          <w:tcPr>
            <w:tcW w:w="12758" w:type="dxa"/>
          </w:tcPr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 xml:space="preserve">Appropriate ‘fit’ or ‘match’ with research expertise/strategy within the School/Department/Centre 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>Effective and efficient admissions’ procedures and decisions implemented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>Applicants develop a clear research proposal and proposed timeline prior to registering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>Staff and students clear of roles and responsibilities at the outset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>Reasons for unsuccessful applications identified and appropriate measures taken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4"/>
              </w:numPr>
            </w:pPr>
            <w:r>
              <w:t>Better student selection at the outset leading to enhanced completion rates</w:t>
            </w:r>
          </w:p>
        </w:tc>
      </w:tr>
      <w:tr w:rsidR="00097E18" w:rsidTr="00097E18">
        <w:trPr>
          <w:cantSplit/>
          <w:trHeight w:val="1550"/>
        </w:trPr>
        <w:tc>
          <w:tcPr>
            <w:tcW w:w="1809" w:type="dxa"/>
            <w:textDirection w:val="btLr"/>
          </w:tcPr>
          <w:p w:rsidR="00097E18" w:rsidRPr="00F51B17" w:rsidRDefault="00097E18" w:rsidP="00931337">
            <w:pPr>
              <w:ind w:left="113" w:right="113"/>
              <w:jc w:val="center"/>
              <w:rPr>
                <w:b/>
                <w:color w:val="C00000"/>
              </w:rPr>
            </w:pPr>
            <w:r w:rsidRPr="00F51B17">
              <w:rPr>
                <w:b/>
                <w:color w:val="C00000"/>
              </w:rPr>
              <w:t>Progress monitoring and registration</w:t>
            </w:r>
          </w:p>
        </w:tc>
        <w:tc>
          <w:tcPr>
            <w:tcW w:w="12758" w:type="dxa"/>
          </w:tcPr>
          <w:p w:rsidR="00097E18" w:rsidRDefault="00097E18" w:rsidP="00931337">
            <w:pPr>
              <w:pStyle w:val="ListParagraph"/>
              <w:numPr>
                <w:ilvl w:val="0"/>
                <w:numId w:val="5"/>
              </w:numPr>
            </w:pPr>
            <w:r>
              <w:t>Problems of academic progress are identified and appropriate action is taken early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5"/>
              </w:numPr>
            </w:pPr>
            <w:r>
              <w:t>Improved student progression with a positive effect on completion rates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5"/>
              </w:numPr>
            </w:pPr>
            <w:r>
              <w:t>Assurance that staff and students are meeting regularly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5"/>
              </w:numPr>
            </w:pPr>
            <w:r>
              <w:t xml:space="preserve">Delays in research studies (because of ethics applications for example) minimised 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5"/>
              </w:numPr>
            </w:pPr>
            <w:r>
              <w:t>Trend analysis undertaken and research degree data quality improved</w:t>
            </w:r>
          </w:p>
        </w:tc>
      </w:tr>
      <w:tr w:rsidR="00097E18" w:rsidTr="00097E18">
        <w:trPr>
          <w:cantSplit/>
          <w:trHeight w:val="1550"/>
        </w:trPr>
        <w:tc>
          <w:tcPr>
            <w:tcW w:w="1809" w:type="dxa"/>
            <w:textDirection w:val="btLr"/>
          </w:tcPr>
          <w:p w:rsidR="00097E18" w:rsidRPr="00F51B17" w:rsidRDefault="00097E18" w:rsidP="00931337">
            <w:pPr>
              <w:ind w:left="113" w:right="113"/>
              <w:jc w:val="center"/>
              <w:rPr>
                <w:b/>
                <w:color w:val="C00000"/>
              </w:rPr>
            </w:pPr>
            <w:r w:rsidRPr="00F51B17">
              <w:rPr>
                <w:b/>
                <w:color w:val="C00000"/>
              </w:rPr>
              <w:t>Supervision and supervisor development</w:t>
            </w:r>
          </w:p>
        </w:tc>
        <w:tc>
          <w:tcPr>
            <w:tcW w:w="12758" w:type="dxa"/>
          </w:tcPr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Research supervisors are supported in their roles and their contribution is recognised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Good supervision practice within Departments is shared across the School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 xml:space="preserve">Students are assured of the continuity of their supervision 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Research supervisors are provided with networking opportunities with colleagues outside the University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Better student progression through better supervision and thus a positive effect on completion rates</w:t>
            </w:r>
          </w:p>
        </w:tc>
      </w:tr>
      <w:tr w:rsidR="00097E18" w:rsidTr="00097E18">
        <w:trPr>
          <w:cantSplit/>
          <w:trHeight w:val="1550"/>
        </w:trPr>
        <w:tc>
          <w:tcPr>
            <w:tcW w:w="1809" w:type="dxa"/>
            <w:textDirection w:val="btLr"/>
          </w:tcPr>
          <w:p w:rsidR="00097E18" w:rsidRPr="00F51B17" w:rsidRDefault="00097E18" w:rsidP="00931337">
            <w:pPr>
              <w:ind w:left="113" w:right="113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Research environment</w:t>
            </w:r>
          </w:p>
        </w:tc>
        <w:tc>
          <w:tcPr>
            <w:tcW w:w="12758" w:type="dxa"/>
          </w:tcPr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 w:rsidRPr="00976AE4">
              <w:t xml:space="preserve">City Graduate </w:t>
            </w:r>
            <w:r>
              <w:t xml:space="preserve">School Researcher Development Framework embedded in research degree programmes in accordance with the sector aim to ‘professionalise’ the researcher 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The “culture of completion”</w:t>
            </w:r>
            <w:r>
              <w:rPr>
                <w:rStyle w:val="FootnoteReference"/>
              </w:rPr>
              <w:footnoteReference w:id="1"/>
            </w:r>
            <w:r>
              <w:t xml:space="preserve"> is cultivated</w:t>
            </w:r>
          </w:p>
          <w:p w:rsidR="00097E18" w:rsidRDefault="00097E18" w:rsidP="00931337">
            <w:pPr>
              <w:pStyle w:val="ListParagraph"/>
              <w:numPr>
                <w:ilvl w:val="0"/>
                <w:numId w:val="7"/>
              </w:numPr>
            </w:pPr>
            <w:r>
              <w:t>Students are made aware of the breadth of career opportunities, including KTPs, available to them</w:t>
            </w:r>
          </w:p>
        </w:tc>
      </w:tr>
    </w:tbl>
    <w:p w:rsidR="00FB747C" w:rsidRDefault="00FB747C" w:rsidP="00097E18">
      <w:pPr>
        <w:spacing w:after="0" w:line="240" w:lineRule="auto"/>
        <w:contextualSpacing/>
      </w:pPr>
    </w:p>
    <w:sectPr w:rsidR="00FB747C" w:rsidSect="008C39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9B9" w:rsidRDefault="008C39B9" w:rsidP="008C39B9">
      <w:pPr>
        <w:spacing w:after="0" w:line="240" w:lineRule="auto"/>
      </w:pPr>
      <w:r>
        <w:separator/>
      </w:r>
    </w:p>
  </w:endnote>
  <w:endnote w:type="continuationSeparator" w:id="0">
    <w:p w:rsidR="008C39B9" w:rsidRDefault="008C39B9" w:rsidP="008C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DCF" w:rsidRPr="007834C3" w:rsidRDefault="007834C3" w:rsidP="00380DCF">
    <w:pPr>
      <w:pStyle w:val="Footer"/>
      <w:jc w:val="right"/>
      <w:rPr>
        <w:sz w:val="16"/>
        <w:szCs w:val="16"/>
      </w:rPr>
    </w:pPr>
    <w:r w:rsidRPr="007834C3">
      <w:rPr>
        <w:sz w:val="16"/>
        <w:szCs w:val="16"/>
      </w:rPr>
      <w:fldChar w:fldCharType="begin"/>
    </w:r>
    <w:r w:rsidRPr="007834C3">
      <w:rPr>
        <w:sz w:val="16"/>
        <w:szCs w:val="16"/>
      </w:rPr>
      <w:instrText xml:space="preserve"> FILENAME  \p  \* MERGEFORMAT </w:instrText>
    </w:r>
    <w:r w:rsidRPr="007834C3">
      <w:rPr>
        <w:sz w:val="16"/>
        <w:szCs w:val="16"/>
      </w:rPr>
      <w:fldChar w:fldCharType="separate"/>
    </w:r>
    <w:r w:rsidRPr="007834C3">
      <w:rPr>
        <w:noProof/>
        <w:sz w:val="16"/>
        <w:szCs w:val="16"/>
      </w:rPr>
      <w:t>F:\QUAD\Quality Manual\Research degrees\APE supplement School action plan-template to improve research degree completion rates MAY 2016.docx</w:t>
    </w:r>
    <w:r w:rsidRPr="007834C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9B9" w:rsidRDefault="008C39B9" w:rsidP="008C39B9">
      <w:pPr>
        <w:spacing w:after="0" w:line="240" w:lineRule="auto"/>
      </w:pPr>
      <w:r>
        <w:separator/>
      </w:r>
    </w:p>
  </w:footnote>
  <w:footnote w:type="continuationSeparator" w:id="0">
    <w:p w:rsidR="008C39B9" w:rsidRDefault="008C39B9" w:rsidP="008C39B9">
      <w:pPr>
        <w:spacing w:after="0" w:line="240" w:lineRule="auto"/>
      </w:pPr>
      <w:r>
        <w:continuationSeparator/>
      </w:r>
    </w:p>
  </w:footnote>
  <w:footnote w:id="1">
    <w:p w:rsidR="00097E18" w:rsidRDefault="00097E18" w:rsidP="00097E18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t>Ketteridge</w:t>
      </w:r>
      <w:proofErr w:type="spellEnd"/>
      <w:r>
        <w:t xml:space="preserve">, S. and </w:t>
      </w:r>
      <w:proofErr w:type="spellStart"/>
      <w:r>
        <w:t>Shiach</w:t>
      </w:r>
      <w:proofErr w:type="spellEnd"/>
      <w:r>
        <w:t xml:space="preserve">, M. (2009). </w:t>
      </w:r>
      <w:r>
        <w:rPr>
          <w:i/>
          <w:iCs/>
        </w:rPr>
        <w:t xml:space="preserve">Supervising research students </w:t>
      </w:r>
      <w:r>
        <w:t xml:space="preserve">in Fry, H., </w:t>
      </w:r>
      <w:proofErr w:type="spellStart"/>
      <w:r>
        <w:t>Ketteridge</w:t>
      </w:r>
      <w:proofErr w:type="spellEnd"/>
      <w:r>
        <w:t>, S. and Marshall, S. (</w:t>
      </w:r>
      <w:proofErr w:type="spellStart"/>
      <w:proofErr w:type="gramStart"/>
      <w:r>
        <w:t>eds</w:t>
      </w:r>
      <w:proofErr w:type="spellEnd"/>
      <w:proofErr w:type="gramEnd"/>
      <w:r>
        <w:t xml:space="preserve">). </w:t>
      </w:r>
      <w:r>
        <w:rPr>
          <w:i/>
          <w:iCs/>
        </w:rPr>
        <w:t xml:space="preserve">A Handbook for Teaching and Learning in Higher Education: enhancing academic practice, </w:t>
      </w:r>
      <w:r>
        <w:t>3</w:t>
      </w:r>
      <w:r>
        <w:rPr>
          <w:sz w:val="13"/>
          <w:szCs w:val="13"/>
        </w:rPr>
        <w:t xml:space="preserve">rd </w:t>
      </w:r>
      <w:r>
        <w:t xml:space="preserve">edition. Routledge, London. pp. 166-185. See also </w:t>
      </w:r>
      <w:r>
        <w:rPr>
          <w:color w:val="0000FF"/>
        </w:rPr>
        <w:t xml:space="preserve">http://www.cgsnet.org/ckfinder/userfiles/files/uga_fdg.pdf </w:t>
      </w:r>
      <w:r>
        <w:t xml:space="preserve">and </w:t>
      </w:r>
      <w:r>
        <w:rPr>
          <w:color w:val="0000FF"/>
        </w:rPr>
        <w:t>http://www.cgsnet.org/ckfinder/userfiles/files/uga_psa.pdf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CA6"/>
    <w:multiLevelType w:val="hybridMultilevel"/>
    <w:tmpl w:val="DFE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3440AC"/>
    <w:multiLevelType w:val="hybridMultilevel"/>
    <w:tmpl w:val="7026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772D08"/>
    <w:multiLevelType w:val="hybridMultilevel"/>
    <w:tmpl w:val="69741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775C"/>
    <w:multiLevelType w:val="hybridMultilevel"/>
    <w:tmpl w:val="90BE49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237B49"/>
    <w:multiLevelType w:val="hybridMultilevel"/>
    <w:tmpl w:val="5C6020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E70AA6"/>
    <w:multiLevelType w:val="hybridMultilevel"/>
    <w:tmpl w:val="ED603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63FA0"/>
    <w:multiLevelType w:val="hybridMultilevel"/>
    <w:tmpl w:val="19623F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A13657"/>
    <w:multiLevelType w:val="hybridMultilevel"/>
    <w:tmpl w:val="2898C0F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FC5957"/>
    <w:multiLevelType w:val="hybridMultilevel"/>
    <w:tmpl w:val="A53EBD02"/>
    <w:lvl w:ilvl="0" w:tplc="77A206E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B9"/>
    <w:rsid w:val="00097E18"/>
    <w:rsid w:val="001248FC"/>
    <w:rsid w:val="0014766A"/>
    <w:rsid w:val="00297034"/>
    <w:rsid w:val="00380DCF"/>
    <w:rsid w:val="005D6ABC"/>
    <w:rsid w:val="00605B0F"/>
    <w:rsid w:val="00643557"/>
    <w:rsid w:val="006E13C8"/>
    <w:rsid w:val="007834C3"/>
    <w:rsid w:val="007868EF"/>
    <w:rsid w:val="00842015"/>
    <w:rsid w:val="008C39B9"/>
    <w:rsid w:val="009773E5"/>
    <w:rsid w:val="00A457A0"/>
    <w:rsid w:val="00A47FFE"/>
    <w:rsid w:val="00AA0D6C"/>
    <w:rsid w:val="00C00EAC"/>
    <w:rsid w:val="00C45D6F"/>
    <w:rsid w:val="00D560C7"/>
    <w:rsid w:val="00F072B5"/>
    <w:rsid w:val="00FB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9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9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6F"/>
  </w:style>
  <w:style w:type="paragraph" w:styleId="Footer">
    <w:name w:val="footer"/>
    <w:basedOn w:val="Normal"/>
    <w:link w:val="FooterChar"/>
    <w:uiPriority w:val="99"/>
    <w:unhideWhenUsed/>
    <w:rsid w:val="00C4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9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9B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9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9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39B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6F"/>
  </w:style>
  <w:style w:type="paragraph" w:styleId="Footer">
    <w:name w:val="footer"/>
    <w:basedOn w:val="Normal"/>
    <w:link w:val="FooterChar"/>
    <w:uiPriority w:val="99"/>
    <w:unhideWhenUsed/>
    <w:rsid w:val="00C4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.ac.uk/__data/assets/pdf_file/0008/295658/Research-Degrees-Good-Practic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vitae.ac.uk/researchers-professional-development/about-the-vitae-researcher-development-framework/developing-the-vitae-researcher-development-framewor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Naomi</dc:creator>
  <cp:lastModifiedBy>Hammond, Naomi</cp:lastModifiedBy>
  <cp:revision>6</cp:revision>
  <dcterms:created xsi:type="dcterms:W3CDTF">2016-05-31T10:08:00Z</dcterms:created>
  <dcterms:modified xsi:type="dcterms:W3CDTF">2016-05-31T11:52:00Z</dcterms:modified>
</cp:coreProperties>
</file>